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b w:val="0"/>
          <w:bCs w:val="0"/>
          <w:sz w:val="24"/>
        </w:rPr>
      </w:pPr>
      <w:r>
        <w:rPr>
          <w:b w:val="0"/>
          <w:bCs w:val="0"/>
          <w:sz w:val="24"/>
        </w:rPr>
        <w:drawing>
          <wp:inline distT="0" distB="0" distL="0" distR="0">
            <wp:extent cx="2857500" cy="685800"/>
            <wp:effectExtent l="0" t="0" r="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 w:val="0"/>
          <w:bCs w:val="0"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 w:val="0"/>
          <w:bCs w:val="0"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 w:val="0"/>
          <w:bCs w:val="0"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华文新魏" w:hAnsi="仿宋" w:eastAsia="华文新魏"/>
          <w:b w:val="0"/>
          <w:bCs w:val="0"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华文新魏" w:hAnsi="仿宋" w:eastAsia="华文新魏"/>
          <w:b w:val="0"/>
          <w:bCs w:val="0"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华文新魏" w:hAnsi="仿宋" w:eastAsia="华文新魏"/>
          <w:b w:val="0"/>
          <w:bCs w:val="0"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 w:val="0"/>
          <w:bCs w:val="0"/>
          <w:sz w:val="72"/>
          <w:szCs w:val="72"/>
          <w:lang w:eastAsia="zh-CN"/>
        </w:rPr>
      </w:pPr>
      <w:r>
        <w:rPr>
          <w:rFonts w:hint="eastAsia" w:ascii="华文新魏" w:hAnsi="仿宋" w:eastAsia="华文新魏"/>
          <w:b w:val="0"/>
          <w:bCs w:val="0"/>
          <w:sz w:val="72"/>
          <w:szCs w:val="72"/>
          <w:lang w:eastAsia="zh-CN"/>
        </w:rPr>
        <w:t>《</w:t>
      </w:r>
      <w:r>
        <w:rPr>
          <w:rFonts w:hint="eastAsia" w:ascii="华文新魏" w:hAnsi="仿宋" w:eastAsia="华文新魏"/>
          <w:b w:val="0"/>
          <w:bCs w:val="0"/>
          <w:sz w:val="72"/>
          <w:szCs w:val="72"/>
          <w:lang w:val="en-US" w:eastAsia="zh-CN"/>
        </w:rPr>
        <w:t>内科学</w:t>
      </w:r>
      <w:r>
        <w:rPr>
          <w:rFonts w:hint="eastAsia" w:ascii="华文新魏" w:hAnsi="仿宋" w:eastAsia="华文新魏"/>
          <w:b w:val="0"/>
          <w:bCs w:val="0"/>
          <w:sz w:val="72"/>
          <w:szCs w:val="72"/>
          <w:lang w:eastAsia="zh-CN"/>
        </w:rPr>
        <w:t>》</w:t>
      </w:r>
    </w:p>
    <w:p>
      <w:pPr>
        <w:spacing w:line="360" w:lineRule="auto"/>
        <w:jc w:val="center"/>
        <w:rPr>
          <w:b w:val="0"/>
          <w:bCs w:val="0"/>
          <w:sz w:val="30"/>
          <w:lang w:eastAsia="zh-CN"/>
        </w:rPr>
      </w:pPr>
      <w:r>
        <w:rPr>
          <w:rFonts w:hint="eastAsia" w:ascii="华文新魏" w:hAnsi="仿宋" w:eastAsia="华文新魏"/>
          <w:b w:val="0"/>
          <w:bCs w:val="0"/>
          <w:sz w:val="30"/>
          <w:szCs w:val="30"/>
          <w:lang w:eastAsia="zh-CN"/>
        </w:rPr>
        <w:t>供临床医学专业（五年制）学生使用</w:t>
      </w: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rPr>
          <w:b w:val="0"/>
          <w:bCs w:val="0"/>
          <w:lang w:eastAsia="zh-CN"/>
        </w:rPr>
      </w:pPr>
    </w:p>
    <w:p>
      <w:pPr>
        <w:spacing w:line="360" w:lineRule="auto"/>
        <w:jc w:val="center"/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ascii="楷体" w:hAnsi="楷体" w:eastAsia="楷体"/>
          <w:b w:val="0"/>
          <w:bCs w:val="0"/>
          <w:sz w:val="44"/>
          <w:szCs w:val="44"/>
          <w:lang w:eastAsia="zh-CN"/>
        </w:rPr>
      </w:pPr>
      <w:r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  <w:t>开课单位：第二临床医</w:t>
      </w:r>
      <w:r>
        <w:rPr>
          <w:rFonts w:ascii="楷体" w:hAnsi="楷体" w:eastAsia="楷体"/>
          <w:b w:val="0"/>
          <w:bCs w:val="0"/>
          <w:sz w:val="44"/>
          <w:szCs w:val="44"/>
          <w:lang w:eastAsia="zh-CN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 w:val="0"/>
          <w:bCs w:val="0"/>
          <w:sz w:val="44"/>
          <w:szCs w:val="44"/>
          <w:lang w:eastAsia="zh-CN"/>
        </w:rPr>
      </w:pPr>
      <w:r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  <w:t>二零二</w:t>
      </w:r>
      <w:r>
        <w:rPr>
          <w:rFonts w:hint="eastAsia" w:ascii="楷体" w:hAnsi="楷体" w:eastAsia="楷体"/>
          <w:b w:val="0"/>
          <w:bCs w:val="0"/>
          <w:sz w:val="44"/>
          <w:szCs w:val="44"/>
          <w:lang w:val="en-US" w:eastAsia="zh-CN"/>
        </w:rPr>
        <w:t>三</w:t>
      </w:r>
      <w:bookmarkStart w:id="0" w:name="_GoBack"/>
      <w:bookmarkEnd w:id="0"/>
      <w:r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  <w:t>年</w:t>
      </w:r>
    </w:p>
    <w:p>
      <w:pPr>
        <w:spacing w:beforeLines="0" w:afterLines="0" w:line="376" w:lineRule="exact"/>
        <w:ind w:left="2606" w:right="-20"/>
        <w:jc w:val="left"/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</w:pPr>
    </w:p>
    <w:p>
      <w:pPr>
        <w:spacing w:beforeLines="0" w:afterLines="0" w:line="376" w:lineRule="exact"/>
        <w:ind w:left="2606" w:right="-20"/>
        <w:jc w:val="left"/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</w:pPr>
    </w:p>
    <w:p>
      <w:pPr>
        <w:spacing w:beforeLines="0" w:afterLines="0" w:line="376" w:lineRule="exact"/>
        <w:ind w:left="2606" w:right="-20"/>
        <w:jc w:val="left"/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</w:pPr>
    </w:p>
    <w:p>
      <w:pPr>
        <w:spacing w:beforeLines="0" w:afterLines="0" w:line="376" w:lineRule="exact"/>
        <w:ind w:right="-20"/>
        <w:jc w:val="left"/>
        <w:rPr>
          <w:rFonts w:hint="eastAsia" w:ascii="楷体" w:hAnsi="楷体" w:eastAsia="楷体"/>
          <w:b w:val="0"/>
          <w:bCs w:val="0"/>
          <w:sz w:val="44"/>
          <w:szCs w:val="44"/>
          <w:lang w:eastAsia="zh-CN"/>
        </w:rPr>
      </w:pPr>
    </w:p>
    <w:p>
      <w:pPr>
        <w:spacing w:beforeLines="0" w:afterLines="0" w:line="376" w:lineRule="exact"/>
        <w:ind w:right="-2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position w:val="-4"/>
          <w:sz w:val="28"/>
          <w:szCs w:val="28"/>
        </w:rPr>
        <w:t xml:space="preserve">《内 </w:t>
      </w:r>
      <w:r>
        <w:rPr>
          <w:rFonts w:hint="eastAsia" w:ascii="宋体" w:hAnsi="宋体"/>
          <w:b/>
          <w:bCs/>
          <w:spacing w:val="2"/>
          <w:position w:val="-4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position w:val="-4"/>
          <w:sz w:val="28"/>
          <w:szCs w:val="28"/>
        </w:rPr>
        <w:t xml:space="preserve">科 </w:t>
      </w:r>
      <w:r>
        <w:rPr>
          <w:rFonts w:hint="eastAsia" w:ascii="宋体" w:hAnsi="宋体"/>
          <w:b/>
          <w:bCs/>
          <w:spacing w:val="2"/>
          <w:position w:val="-4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position w:val="-4"/>
          <w:sz w:val="28"/>
          <w:szCs w:val="28"/>
        </w:rPr>
        <w:t xml:space="preserve">学》 </w:t>
      </w:r>
      <w:r>
        <w:rPr>
          <w:rFonts w:hint="eastAsia" w:ascii="宋体" w:hAnsi="宋体"/>
          <w:b/>
          <w:bCs/>
          <w:spacing w:val="2"/>
          <w:position w:val="-4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position w:val="-4"/>
          <w:sz w:val="28"/>
          <w:szCs w:val="28"/>
        </w:rPr>
        <w:t xml:space="preserve">课  程 </w:t>
      </w:r>
      <w:r>
        <w:rPr>
          <w:rFonts w:hint="eastAsia" w:ascii="宋体" w:hAnsi="宋体"/>
          <w:b/>
          <w:bCs/>
          <w:spacing w:val="2"/>
          <w:position w:val="-4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position w:val="-4"/>
          <w:sz w:val="28"/>
          <w:szCs w:val="28"/>
        </w:rPr>
        <w:t xml:space="preserve">指 </w:t>
      </w:r>
      <w:r>
        <w:rPr>
          <w:rFonts w:hint="eastAsia" w:ascii="宋体" w:hAnsi="宋体"/>
          <w:b/>
          <w:bCs/>
          <w:spacing w:val="2"/>
          <w:position w:val="-4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position w:val="-4"/>
          <w:sz w:val="28"/>
          <w:szCs w:val="28"/>
        </w:rPr>
        <w:t>南</w:t>
      </w:r>
    </w:p>
    <w:p>
      <w:pPr>
        <w:spacing w:beforeLines="0" w:afterLines="0" w:line="200" w:lineRule="exact"/>
        <w:jc w:val="left"/>
        <w:rPr>
          <w:rFonts w:hint="eastAsia" w:ascii="Microsoft JhengHei" w:hAnsi="Microsoft JhengHei" w:eastAsia="Microsoft JhengHei"/>
          <w:b/>
          <w:bCs/>
          <w:sz w:val="28"/>
          <w:szCs w:val="28"/>
        </w:rPr>
      </w:pPr>
    </w:p>
    <w:p>
      <w:pPr>
        <w:spacing w:before="15" w:beforeLines="0" w:afterLines="0" w:line="220" w:lineRule="exact"/>
        <w:jc w:val="left"/>
        <w:rPr>
          <w:rFonts w:hint="eastAsia" w:ascii="Microsoft JhengHei" w:hAnsi="Microsoft JhengHei" w:eastAsia="Microsoft JhengHei"/>
          <w:sz w:val="22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right="136" w:rightChars="0"/>
        <w:textAlignment w:val="auto"/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 xml:space="preserve">一、课程信息  课程编号：20180199   课程编号：20180200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left="515" w:leftChars="0" w:right="138" w:rightChars="0" w:firstLine="1054" w:firstLineChars="500"/>
        <w:rPr>
          <w:rFonts w:hint="default" w:ascii="宋体" w:hAnsi="宋体"/>
          <w:b/>
          <w:bCs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中文 内科学1         中文 内科学2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left="515" w:leftChars="0" w:right="138" w:rightChars="0" w:firstLine="1054" w:firstLineChars="500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英文：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Internal Medicine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二、开课院系：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天津医科大学第二临床医学院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三、学分学时：学分：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 xml:space="preserve">9学分 </w:t>
      </w: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总学时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:162</w:t>
      </w: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学时 理论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授课学时：90学时 见习学时：72 学时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四、课程适用对象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 xml:space="preserve">：临床医学专业（5年制）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/>
        <w:rPr>
          <w:rFonts w:hint="eastAsia" w:ascii="宋体" w:hAnsi="宋体" w:eastAsia="宋体" w:cs="宋体"/>
          <w:b w:val="0"/>
          <w:bCs w:val="0"/>
          <w:spacing w:val="-4"/>
          <w:kern w:val="2"/>
          <w:sz w:val="21"/>
          <w:szCs w:val="24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五、课程基本内容简介</w:t>
      </w: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 xml:space="preserve">： </w:t>
      </w:r>
      <w:r>
        <w:rPr>
          <w:rFonts w:hint="eastAsia" w:ascii="宋体" w:hAnsi="宋体" w:eastAsia="宋体" w:cs="宋体"/>
          <w:b w:val="0"/>
          <w:bCs w:val="0"/>
          <w:spacing w:val="-4"/>
          <w:kern w:val="2"/>
          <w:sz w:val="21"/>
          <w:szCs w:val="24"/>
          <w:lang w:val="en-US" w:eastAsia="zh-CN"/>
        </w:rPr>
        <w:t>内科学是临床医学专业核心课程之一，是由呼吸系统、循环系统、消化系统、泌尿系统、血液系统、内分泌和代谢、风湿免疫等多个专业学科组成的二级学科，涵盖了人体几乎所有系统常见疾病的临床理论知识。本课程内容以讲授上述各个系统的总论和常见疾病为主，重点讲授常见疾病的病因、发病机制、临床表现、诊断和鉴别诊断、治疗及预后。在讲授过程中将学生引领进正确的内科学思维模式。结合临床5年制对培养学生自主学习能力的要求，部分授课内容增加自主学习的教学模式，以学生自学为主，教师引导学生在课堂上进行讨论、交流，即教师与学生互动、学生之间彼此互动，以课堂发言和课堂测验的形式检验学生的自学成果，教师最后总结重点、难点内容。在强调掌握各系统疾病相关的基础知识、基本理论、基本技能的同时，要将各专业的临床进展和技术进步融合到课程之中，使学生拓宽视野、体会临床医学的与时俱进。此外，课程思政要始终贯穿于整个授课过程，教导学生树立救死扶伤的医者使命感、以及给予患者充分的人文关怀。总之，通过这门课程的学习，学生要掌握内科系统各种常见疾病的临床知识，掌握内科学的学习方法和临床思维，培养良好的医患沟通能力和医生应该具备的职业素养，为下一步的临床实习、乃至今后的从医之路奠定良好的基础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/>
          <w:b w:val="0"/>
          <w:bCs w:val="0"/>
          <w:spacing w:val="-4"/>
          <w:lang w:val="en-US" w:eastAsia="zh-CN"/>
        </w:rPr>
      </w:pPr>
      <w:r>
        <w:rPr>
          <w:rFonts w:hint="eastAsia"/>
          <w:b/>
          <w:bCs/>
          <w:spacing w:val="-4"/>
          <w:lang w:val="en-US" w:eastAsia="zh-CN"/>
        </w:rPr>
        <w:t>六、教学目标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/>
          <w:b/>
          <w:bCs/>
          <w:spacing w:val="-4"/>
          <w:lang w:val="en-US" w:eastAsia="zh-CN"/>
        </w:rPr>
      </w:pPr>
      <w:r>
        <w:rPr>
          <w:rFonts w:hint="eastAsia"/>
          <w:b/>
          <w:bCs/>
          <w:spacing w:val="-4"/>
          <w:lang w:val="en-US" w:eastAsia="zh-CN"/>
        </w:rPr>
        <w:t>1.知识目标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 w:firstLine="420" w:firstLineChars="200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掌握各系统的总论以及常见疾病的流行病学、病因、发病机制、临床表现、诊断和鉴别诊断、治疗及预后；了解本学科的新进展、新理论、新成就；建立正确的临床思维模式；培养良好的医生职业素养和医患沟通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60" w:lineRule="auto"/>
        <w:ind w:right="138"/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技能目标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04" w:firstLineChars="200"/>
        <w:jc w:val="both"/>
        <w:textAlignment w:val="baseline"/>
        <w:rPr>
          <w:rFonts w:hint="eastAsia"/>
          <w:b w:val="0"/>
          <w:bCs w:val="0"/>
          <w:spacing w:val="-4"/>
          <w:lang w:val="en-US" w:eastAsia="zh-CN"/>
        </w:rPr>
      </w:pPr>
      <w:r>
        <w:rPr>
          <w:rFonts w:hint="eastAsia"/>
          <w:b w:val="0"/>
          <w:bCs w:val="0"/>
          <w:spacing w:val="-4"/>
          <w:lang w:val="en-US" w:eastAsia="zh-CN"/>
        </w:rPr>
        <w:t>关注内科学相关各系统最新研究进展，提高学生的自主学习能力、创新能力、综合分析能力、实际应用能力、组织能力、团队合作能力等。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0" w:firstLineChars="0"/>
        <w:jc w:val="both"/>
        <w:textAlignment w:val="baseline"/>
        <w:rPr>
          <w:rFonts w:hint="eastAsia"/>
          <w:b/>
          <w:bCs/>
          <w:spacing w:val="-4"/>
          <w:lang w:val="en-US" w:eastAsia="zh-CN"/>
        </w:rPr>
      </w:pPr>
      <w:r>
        <w:rPr>
          <w:rFonts w:hint="eastAsia"/>
          <w:b/>
          <w:bCs/>
          <w:spacing w:val="-4"/>
          <w:lang w:val="en-US" w:eastAsia="zh-CN"/>
        </w:rPr>
        <w:t>思政目标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 w:right="0" w:rightChars="0"/>
        <w:jc w:val="both"/>
        <w:textAlignment w:val="baseline"/>
        <w:rPr>
          <w:rFonts w:hint="eastAsia"/>
          <w:b w:val="0"/>
          <w:bCs w:val="0"/>
          <w:spacing w:val="-4"/>
          <w:lang w:eastAsia="zh-CN"/>
        </w:rPr>
      </w:pPr>
      <w:r>
        <w:rPr>
          <w:rFonts w:hint="eastAsia"/>
          <w:b/>
          <w:bCs/>
          <w:spacing w:val="-4"/>
          <w:lang w:val="en-US" w:eastAsia="zh-CN"/>
        </w:rPr>
        <w:t xml:space="preserve">   </w:t>
      </w:r>
      <w:r>
        <w:rPr>
          <w:rFonts w:hint="eastAsia"/>
          <w:b w:val="0"/>
          <w:bCs w:val="0"/>
          <w:spacing w:val="-4"/>
          <w:lang w:val="en-US" w:eastAsia="zh-CN"/>
        </w:rPr>
        <w:t>培养学生的良好的职业素养以及高尚的道德素养，全社会大力提倡健康生活方式，慢性疾病的防治。</w:t>
      </w:r>
      <w:r>
        <w:rPr>
          <w:rFonts w:hint="eastAsia"/>
          <w:b w:val="0"/>
          <w:bCs w:val="0"/>
          <w:spacing w:val="-4"/>
          <w:lang w:eastAsia="zh-CN"/>
        </w:rPr>
        <w:t>增强学生深入理解医学治病救命的实践含意，体现党和国家对全国人民健康的重视和实际举措， 增加“四个自信”。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779"/>
        <w:gridCol w:w="1779"/>
        <w:gridCol w:w="1779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序号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章节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专业知识点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思政元素点</w:t>
            </w:r>
          </w:p>
        </w:tc>
        <w:tc>
          <w:tcPr>
            <w:tcW w:w="178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1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呼吸系统慢性阻塞性肺疾病、慢性肺源性心脏病、呼吸衰竭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慢性阻塞性肺疾病的发生的病因，发展的加重因素以及治疗的原则</w:t>
            </w:r>
          </w:p>
        </w:tc>
        <w:tc>
          <w:tcPr>
            <w:tcW w:w="1779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在学习呼吸系统慢性阻塞性肺疾病的进程中，</w:t>
            </w:r>
            <w:r>
              <w:rPr>
                <w:rFonts w:hint="eastAsia"/>
                <w:b w:val="0"/>
                <w:bCs w:val="0"/>
                <w:spacing w:val="-5"/>
                <w:lang w:eastAsia="zh-CN"/>
              </w:rPr>
              <w:t>设“</w:t>
            </w:r>
            <w:r>
              <w:rPr>
                <w:rFonts w:hint="eastAsia"/>
                <w:b w:val="0"/>
                <w:bCs w:val="0"/>
                <w:spacing w:val="-5"/>
                <w:lang w:val="en-US" w:eastAsia="zh-CN"/>
              </w:rPr>
              <w:t>慢性阻塞性肺疾病</w:t>
            </w:r>
            <w:r>
              <w:rPr>
                <w:rFonts w:hint="eastAsia"/>
                <w:b w:val="0"/>
                <w:bCs w:val="0"/>
                <w:spacing w:val="-6"/>
                <w:lang w:eastAsia="zh-CN"/>
              </w:rPr>
              <w:t>绿色通道”，快速医疗响应、先治疗后</w:t>
            </w:r>
            <w:r>
              <w:rPr>
                <w:rFonts w:hint="eastAsia"/>
                <w:b w:val="0"/>
                <w:bCs w:val="0"/>
                <w:spacing w:val="17"/>
                <w:lang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pacing w:val="-6"/>
                <w:lang w:eastAsia="zh-CN"/>
              </w:rPr>
              <w:t>付费。</w:t>
            </w: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注重培养学生的职业素养，提倡全社会健康生活方式，远离不健康的生活要素，增强人民的体质，降低COPD疾病的患病率</w:t>
            </w:r>
          </w:p>
        </w:tc>
        <w:tc>
          <w:tcPr>
            <w:tcW w:w="178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 w:rightChars="0"/>
              <w:jc w:val="both"/>
              <w:textAlignment w:val="baseline"/>
              <w:rPr>
                <w:rFonts w:hint="default"/>
                <w:b w:val="0"/>
                <w:bCs w:val="0"/>
                <w:spacing w:val="-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4"/>
                <w:vertAlign w:val="baseline"/>
                <w:lang w:val="en-US" w:eastAsia="zh-CN"/>
              </w:rPr>
              <w:t>培养学生的职业素养，全社会提倡健康生活方式，慢性疾病的防治，增强学生深入理解医学治病救命的实践含意。体现党和国家对全国人民健康的重视和实际举措。</w:t>
            </w:r>
          </w:p>
        </w:tc>
      </w:tr>
    </w:tbl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right="0" w:firstLine="0" w:firstLineChars="0"/>
        <w:jc w:val="both"/>
        <w:rPr>
          <w:rFonts w:hint="eastAsia"/>
          <w:b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七、主要教学方法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教学方法：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b w:val="0"/>
          <w:bCs w:val="0"/>
          <w:lang w:eastAsia="zh-CN"/>
        </w:rPr>
      </w:pPr>
      <w:r>
        <w:rPr>
          <w:rFonts w:hint="eastAsia"/>
          <w:b w:val="0"/>
          <w:bCs w:val="0"/>
          <w:spacing w:val="-1"/>
          <w:lang w:eastAsia="zh-CN"/>
        </w:rPr>
        <w:t>理论讲授、临床见习、自主学习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自主学习教学方法：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CBL：以病例为基础， 由教师设置核心问题，在教师带领下由学生小组完成病例讨论。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自主学习考核方式：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b w:val="0"/>
          <w:bCs w:val="0"/>
          <w:lang w:eastAsia="zh-CN"/>
        </w:rPr>
      </w:pPr>
      <w:r>
        <w:rPr>
          <w:rFonts w:hint="eastAsia"/>
          <w:b w:val="0"/>
          <w:bCs w:val="0"/>
          <w:spacing w:val="-6"/>
          <w:lang w:eastAsia="zh-CN"/>
        </w:rPr>
        <w:t>以</w:t>
      </w:r>
      <w:r>
        <w:rPr>
          <w:rFonts w:hint="eastAsia"/>
          <w:b w:val="0"/>
          <w:bCs w:val="0"/>
          <w:spacing w:val="-28"/>
          <w:lang w:eastAsia="zh-CN"/>
        </w:rPr>
        <w:t xml:space="preserve"> </w:t>
      </w:r>
      <w:r>
        <w:rPr>
          <w:rFonts w:hint="eastAsia"/>
          <w:b w:val="0"/>
          <w:bCs w:val="0"/>
          <w:spacing w:val="-6"/>
          <w:lang w:eastAsia="zh-CN"/>
        </w:rPr>
        <w:t>CBL 形式进行的自主学习的考核方式， 占总成绩的</w:t>
      </w:r>
      <w:r>
        <w:rPr>
          <w:rFonts w:hint="eastAsia"/>
          <w:b w:val="0"/>
          <w:bCs w:val="0"/>
          <w:spacing w:val="-27"/>
          <w:lang w:eastAsia="zh-CN"/>
        </w:rPr>
        <w:t xml:space="preserve"> </w:t>
      </w:r>
      <w:r>
        <w:rPr>
          <w:rFonts w:hint="eastAsia"/>
          <w:b w:val="0"/>
          <w:bCs w:val="0"/>
          <w:spacing w:val="-6"/>
          <w:lang w:eastAsia="zh-CN"/>
        </w:rPr>
        <w:t>10%。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right="138" w:rightChars="0"/>
        <w:textAlignment w:val="auto"/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/>
          <w:bCs/>
          <w:kern w:val="0"/>
          <w:sz w:val="21"/>
          <w:szCs w:val="24"/>
          <w:lang w:val="en-US" w:eastAsia="zh-CN" w:bidi="ar-SA"/>
        </w:rPr>
        <w:t>参考教材</w:t>
      </w:r>
      <w:r>
        <w:rPr>
          <w:rFonts w:hint="eastAsia"/>
          <w:b/>
          <w:szCs w:val="21"/>
          <w:lang w:eastAsia="zh-CN"/>
        </w:rPr>
        <w:t>（名称、主编、出版社、出版时间）：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rFonts w:hint="eastAsia"/>
          <w:b w:val="0"/>
          <w:bCs w:val="0"/>
          <w:spacing w:val="-4"/>
          <w:lang w:eastAsia="zh-CN"/>
        </w:rPr>
      </w:pPr>
      <w:r>
        <w:rPr>
          <w:rFonts w:hint="eastAsia"/>
          <w:b w:val="0"/>
          <w:bCs w:val="0"/>
          <w:spacing w:val="-4"/>
          <w:lang w:eastAsia="zh-CN"/>
        </w:rPr>
        <w:t>《内科学》 第 9 版 主编：葛均波、徐永健、王 辰。人民卫生出版社，2018 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/>
        <w:textAlignment w:val="auto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主要参考资料：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right="138" w:rightChars="0"/>
        <w:textAlignment w:val="auto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 w:ascii="宋体" w:hAnsi="宋体"/>
          <w:kern w:val="0"/>
          <w:sz w:val="21"/>
          <w:szCs w:val="24"/>
          <w:lang w:val="en-US" w:eastAsia="zh-CN" w:bidi="ar-SA"/>
        </w:rPr>
        <w:t>Cecil  Textbook of Medicine，24th, Lee Goldman, Andrew I Schafer, SAUNDERS，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九、其他参考资料：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rFonts w:hint="eastAsia"/>
          <w:b w:val="0"/>
          <w:bCs w:val="0"/>
          <w:spacing w:val="-4"/>
          <w:lang w:eastAsia="zh-CN"/>
        </w:rPr>
      </w:pPr>
      <w:r>
        <w:rPr>
          <w:rFonts w:hint="eastAsia"/>
          <w:b w:val="0"/>
          <w:bCs w:val="0"/>
          <w:spacing w:val="-4"/>
          <w:lang w:eastAsia="zh-CN"/>
        </w:rPr>
        <w:t xml:space="preserve">《内科学》 第 </w:t>
      </w:r>
      <w:r>
        <w:rPr>
          <w:rFonts w:hint="eastAsia"/>
          <w:b w:val="0"/>
          <w:bCs w:val="0"/>
          <w:spacing w:val="-4"/>
          <w:lang w:val="en-US" w:eastAsia="zh-CN"/>
        </w:rPr>
        <w:t>3</w:t>
      </w:r>
      <w:r>
        <w:rPr>
          <w:rFonts w:hint="eastAsia"/>
          <w:b w:val="0"/>
          <w:bCs w:val="0"/>
          <w:spacing w:val="-4"/>
          <w:lang w:eastAsia="zh-CN"/>
        </w:rPr>
        <w:t xml:space="preserve"> 版 主编：</w:t>
      </w:r>
      <w:r>
        <w:rPr>
          <w:rFonts w:hint="eastAsia"/>
          <w:b w:val="0"/>
          <w:bCs w:val="0"/>
          <w:spacing w:val="-4"/>
          <w:lang w:val="en-US" w:eastAsia="zh-CN"/>
        </w:rPr>
        <w:t>王辰</w:t>
      </w:r>
      <w:r>
        <w:rPr>
          <w:rFonts w:hint="eastAsia"/>
          <w:b w:val="0"/>
          <w:bCs w:val="0"/>
          <w:spacing w:val="-4"/>
          <w:lang w:eastAsia="zh-CN"/>
        </w:rPr>
        <w:t>、</w:t>
      </w:r>
      <w:r>
        <w:rPr>
          <w:rFonts w:hint="eastAsia"/>
          <w:b w:val="0"/>
          <w:bCs w:val="0"/>
          <w:spacing w:val="-4"/>
          <w:lang w:val="en-US" w:eastAsia="zh-CN"/>
        </w:rPr>
        <w:t>王建安</w:t>
      </w:r>
      <w:r>
        <w:rPr>
          <w:rFonts w:hint="eastAsia"/>
          <w:b w:val="0"/>
          <w:bCs w:val="0"/>
          <w:spacing w:val="-4"/>
          <w:lang w:eastAsia="zh-CN"/>
        </w:rPr>
        <w:t>。人民卫生出版社，201</w:t>
      </w:r>
      <w:r>
        <w:rPr>
          <w:rFonts w:hint="eastAsia"/>
          <w:b w:val="0"/>
          <w:bCs w:val="0"/>
          <w:spacing w:val="-4"/>
          <w:lang w:val="en-US" w:eastAsia="zh-CN"/>
        </w:rPr>
        <w:t>5</w:t>
      </w:r>
      <w:r>
        <w:rPr>
          <w:rFonts w:hint="eastAsia"/>
          <w:b w:val="0"/>
          <w:bCs w:val="0"/>
          <w:spacing w:val="-4"/>
          <w:lang w:eastAsia="zh-CN"/>
        </w:rPr>
        <w:t>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jc w:val="both"/>
        <w:textAlignment w:val="auto"/>
        <w:rPr>
          <w:rFonts w:hint="eastAsia"/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十、考核方式：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b w:val="0"/>
          <w:bCs w:val="0"/>
          <w:lang w:eastAsia="zh-CN"/>
        </w:rPr>
      </w:pPr>
      <w:r>
        <w:rPr>
          <w:rFonts w:hint="eastAsia"/>
          <w:b w:val="0"/>
          <w:bCs w:val="0"/>
          <w:spacing w:val="-1"/>
          <w:position w:val="19"/>
          <w:lang w:eastAsia="zh-CN"/>
        </w:rPr>
        <w:t>闭卷理论考核占</w:t>
      </w:r>
      <w:r>
        <w:rPr>
          <w:rFonts w:hint="eastAsia"/>
          <w:b w:val="0"/>
          <w:bCs w:val="0"/>
          <w:spacing w:val="-45"/>
          <w:position w:val="19"/>
          <w:lang w:eastAsia="zh-CN"/>
        </w:rPr>
        <w:t xml:space="preserve"> </w:t>
      </w:r>
      <w:r>
        <w:rPr>
          <w:rFonts w:hint="eastAsia"/>
          <w:b w:val="0"/>
          <w:bCs w:val="0"/>
          <w:spacing w:val="-1"/>
          <w:position w:val="19"/>
          <w:lang w:eastAsia="zh-CN"/>
        </w:rPr>
        <w:t>70%，平时成绩占</w:t>
      </w:r>
      <w:r>
        <w:rPr>
          <w:rFonts w:hint="eastAsia"/>
          <w:b w:val="0"/>
          <w:bCs w:val="0"/>
          <w:spacing w:val="-44"/>
          <w:position w:val="19"/>
          <w:lang w:eastAsia="zh-CN"/>
        </w:rPr>
        <w:t xml:space="preserve"> </w:t>
      </w:r>
      <w:r>
        <w:rPr>
          <w:rFonts w:hint="eastAsia"/>
          <w:b w:val="0"/>
          <w:bCs w:val="0"/>
          <w:spacing w:val="-1"/>
          <w:position w:val="19"/>
          <w:lang w:eastAsia="zh-CN"/>
        </w:rPr>
        <w:t>30%；平时成绩（30%）包括随堂考试或作业成绩、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right="0" w:firstLine="0" w:firstLineChars="0"/>
        <w:textAlignment w:val="auto"/>
        <w:rPr>
          <w:rFonts w:ascii="宋体" w:hAnsi="宋体" w:eastAsia="宋体" w:cs="宋体"/>
          <w:b w:val="0"/>
          <w:bCs w:val="0"/>
          <w:lang w:eastAsia="zh-CN"/>
        </w:rPr>
      </w:pPr>
      <w:r>
        <w:rPr>
          <w:rFonts w:hint="eastAsia"/>
          <w:b w:val="0"/>
          <w:bCs w:val="0"/>
          <w:spacing w:val="-3"/>
          <w:lang w:eastAsia="zh-CN"/>
        </w:rPr>
        <w:t>自主学习教学（CBL）表现、临床见习成绩。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217" w:line="360" w:lineRule="auto"/>
        <w:ind w:left="21" w:right="74" w:firstLine="426"/>
        <w:jc w:val="both"/>
        <w:textAlignment w:val="auto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  <w:r>
        <w:rPr>
          <w:rFonts w:hint="eastAsia"/>
          <w:b/>
          <w:szCs w:val="21"/>
          <w:lang w:eastAsia="zh-CN"/>
        </w:rPr>
        <w:t>附表 1：教学计划表</w:t>
      </w:r>
      <w:r>
        <w:rPr>
          <w:rFonts w:hint="default" w:ascii="宋体" w:hAnsi="宋体"/>
          <w:b/>
          <w:bCs/>
          <w:kern w:val="0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3801110</wp:posOffset>
                </wp:positionH>
                <wp:positionV relativeFrom="paragraph">
                  <wp:posOffset>519430</wp:posOffset>
                </wp:positionV>
                <wp:extent cx="12700" cy="12700"/>
                <wp:effectExtent l="0" t="1905" r="0" b="0"/>
                <wp:wrapNone/>
                <wp:docPr id="1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" h="20">
                              <a:moveTo>
                                <a:pt x="0" y="4"/>
                              </a:moveTo>
                              <a:lnTo>
                                <a:pt x="9" y="4"/>
                              </a:lnTo>
                            </a:path>
                          </a:pathLst>
                        </a:custGeom>
                        <a:noFill/>
                        <a:ln w="736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299.3pt;margin-top:40.9pt;height:1pt;width:1pt;mso-position-horizontal-relative:page;z-index:-251657216;mso-width-relative:page;mso-height-relative:page;" filled="f" stroked="t" coordsize="20,20" o:gfxdata="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OzjkY1wAAAAkBAAAPAAAAAAAAAAEAIAAAACIAAABkcnMvZG93bnJl&#10;di54bWxQSwECFAAUAAAACACHTuJAt4yDtzcCAACUBAAADgAAAAAAAAABACAAAAAmAQAAZHJzL2Uy&#10;b0RvYy54bWxQSwUGAAAAAAYABgBZAQAAzwUAAAAA&#10;" path="m0,4l9,4e">
                <v:fill on="f" focussize="0,0"/>
                <v:stroke weight="0.58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W w:w="93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2538"/>
        <w:gridCol w:w="1566"/>
        <w:gridCol w:w="1830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  <w:t>总学时</w:t>
            </w:r>
          </w:p>
        </w:tc>
        <w:tc>
          <w:tcPr>
            <w:tcW w:w="348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7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  <w:t>理论授课</w:t>
            </w: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4"/>
                <w:lang w:val="en-US" w:eastAsia="zh-CN" w:bidi="ar-SA"/>
              </w:rPr>
              <w:t>见习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第一篇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 w:firstLine="210" w:firstLineChars="100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绪论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第二篇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呼吸系统疾病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34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第三篇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心血管系统疾病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40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22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第四篇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风湿性疾病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第五篇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泌尿系统疾病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第六篇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血液和造血系统疾病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32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both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第七篇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118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内分泌和代谢疾病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left="102" w:right="138" w:firstLine="413"/>
              <w:jc w:val="left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162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90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360" w:lineRule="auto"/>
              <w:ind w:right="138"/>
              <w:jc w:val="center"/>
              <w:textAlignment w:val="auto"/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 w:bidi="ar-SA"/>
              </w:rPr>
              <w:t>72</w:t>
            </w:r>
          </w:p>
        </w:tc>
      </w:tr>
    </w:tbl>
    <w:p>
      <w:pPr>
        <w:widowControl w:val="0"/>
        <w:autoSpaceDE w:val="0"/>
        <w:autoSpaceDN w:val="0"/>
        <w:adjustRightInd w:val="0"/>
        <w:spacing w:beforeLines="0" w:afterLines="0" w:line="312" w:lineRule="exact"/>
        <w:ind w:left="102" w:right="138" w:firstLine="413"/>
        <w:rPr>
          <w:rFonts w:hint="eastAsia" w:ascii="宋体" w:hAnsi="宋体"/>
          <w:kern w:val="0"/>
          <w:sz w:val="21"/>
          <w:szCs w:val="24"/>
          <w:lang w:val="en-US" w:eastAsia="zh-CN" w:bidi="ar-SA"/>
        </w:rPr>
      </w:pPr>
    </w:p>
    <w:sectPr>
      <w:pgSz w:w="11920" w:h="16840"/>
      <w:pgMar w:top="1380" w:right="1560" w:bottom="280" w:left="16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20B16F"/>
    <w:multiLevelType w:val="singleLevel"/>
    <w:tmpl w:val="F420B16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5D75B7"/>
    <w:multiLevelType w:val="singleLevel"/>
    <w:tmpl w:val="455D75B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doNotCompress"/>
  <w:doNotValidateAgainstSchema/>
  <w:doNotDemarcateInvalidXml/>
  <w:footnotePr>
    <w:footnote w:id="0"/>
    <w:footnote w:id="1"/>
  </w:foot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jQ4MzhkNzA1YjQ2Y2Q2YTA3NWU3YTFkZGU5OWEifQ=="/>
  </w:docVars>
  <w:rsids>
    <w:rsidRoot w:val="00172A27"/>
    <w:rsid w:val="006911F9"/>
    <w:rsid w:val="009E7064"/>
    <w:rsid w:val="03EA08A3"/>
    <w:rsid w:val="076B3AA9"/>
    <w:rsid w:val="0A6A031B"/>
    <w:rsid w:val="0C2D568A"/>
    <w:rsid w:val="12153EA8"/>
    <w:rsid w:val="142B4CEC"/>
    <w:rsid w:val="14973315"/>
    <w:rsid w:val="18100480"/>
    <w:rsid w:val="18356139"/>
    <w:rsid w:val="193A152D"/>
    <w:rsid w:val="1A613102"/>
    <w:rsid w:val="1B140288"/>
    <w:rsid w:val="1FF705E0"/>
    <w:rsid w:val="217F21D3"/>
    <w:rsid w:val="23E427C1"/>
    <w:rsid w:val="2C6941AB"/>
    <w:rsid w:val="2FA136BA"/>
    <w:rsid w:val="35AD6EB7"/>
    <w:rsid w:val="38C20ECB"/>
    <w:rsid w:val="394D39CC"/>
    <w:rsid w:val="39AB5E03"/>
    <w:rsid w:val="3C101F4E"/>
    <w:rsid w:val="3CBB45AF"/>
    <w:rsid w:val="3F745EDC"/>
    <w:rsid w:val="40414DCB"/>
    <w:rsid w:val="41D63C39"/>
    <w:rsid w:val="429C09DF"/>
    <w:rsid w:val="42B21389"/>
    <w:rsid w:val="4734568A"/>
    <w:rsid w:val="47C00CCC"/>
    <w:rsid w:val="485D651B"/>
    <w:rsid w:val="48D0218E"/>
    <w:rsid w:val="4EAF3AEE"/>
    <w:rsid w:val="4F133DD7"/>
    <w:rsid w:val="502B49B8"/>
    <w:rsid w:val="51C11396"/>
    <w:rsid w:val="53083527"/>
    <w:rsid w:val="532F31A9"/>
    <w:rsid w:val="5DF71793"/>
    <w:rsid w:val="5F441D8B"/>
    <w:rsid w:val="60FD1DB0"/>
    <w:rsid w:val="62D039A5"/>
    <w:rsid w:val="64E0681A"/>
    <w:rsid w:val="655578D8"/>
    <w:rsid w:val="6C1C0317"/>
    <w:rsid w:val="719B56EF"/>
    <w:rsid w:val="738844E4"/>
    <w:rsid w:val="7CFE75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nhideWhenUsed="0" w:uiPriority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5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</w:r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1608</Words>
  <Characters>1735</Characters>
  <TotalTime>3</TotalTime>
  <ScaleCrop>false</ScaleCrop>
  <LinksUpToDate>false</LinksUpToDate>
  <CharactersWithSpaces>1808</CharactersWithSpaces>
  <Application>WPS Office_12.1.0.16894_F1E327BC-269C-435d-A152-05C5408002CA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2023-07-18T00:10:00Z</dcterms:created>
  <dc:creator>liuxl</dc:creator>
  <cp:lastModifiedBy>李晓</cp:lastModifiedBy>
  <dcterms:modified xsi:type="dcterms:W3CDTF">2024-05-13T02:14:33Z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42FD5FAED76F478581C17FEC6C6535EC_13</vt:lpwstr>
  </property>
</Properties>
</file>