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9B7" w:rsidRDefault="00D5639B">
      <w:pPr>
        <w:spacing w:line="360" w:lineRule="auto"/>
        <w:jc w:val="center"/>
        <w:rPr>
          <w:b/>
          <w:sz w:val="28"/>
        </w:rPr>
      </w:pPr>
      <w:r>
        <w:rPr>
          <w:rFonts w:ascii="宋体" w:hAnsi="宋体" w:hint="eastAsia"/>
          <w:b/>
          <w:sz w:val="28"/>
          <w:u w:val="single"/>
        </w:rPr>
        <w:t>__医学基础II 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rsidR="001279B7" w:rsidRDefault="00D5639B">
      <w:pPr>
        <w:spacing w:line="360" w:lineRule="auto"/>
        <w:jc w:val="center"/>
        <w:rPr>
          <w:b/>
          <w:sz w:val="28"/>
        </w:rPr>
      </w:pPr>
      <w:r>
        <w:rPr>
          <w:rFonts w:hint="eastAsia"/>
          <w:b/>
          <w:sz w:val="28"/>
        </w:rPr>
        <w:t>(</w:t>
      </w:r>
      <w:r>
        <w:rPr>
          <w:rFonts w:hint="eastAsia"/>
          <w:b/>
          <w:sz w:val="28"/>
        </w:rPr>
        <w:t>整合课程）</w:t>
      </w:r>
    </w:p>
    <w:p w:rsidR="001279B7" w:rsidRDefault="001279B7">
      <w:pPr>
        <w:spacing w:line="360" w:lineRule="auto"/>
        <w:jc w:val="center"/>
        <w:rPr>
          <w:b/>
          <w:sz w:val="28"/>
        </w:rPr>
      </w:pPr>
    </w:p>
    <w:p w:rsidR="001279B7" w:rsidRDefault="00D5639B">
      <w:pPr>
        <w:spacing w:line="360" w:lineRule="auto"/>
        <w:rPr>
          <w:szCs w:val="21"/>
        </w:rPr>
      </w:pPr>
      <w:r>
        <w:rPr>
          <w:rFonts w:hint="eastAsia"/>
          <w:b/>
          <w:color w:val="000000"/>
          <w:szCs w:val="21"/>
        </w:rPr>
        <w:t xml:space="preserve">    </w:t>
      </w:r>
      <w:r>
        <w:rPr>
          <w:rFonts w:hint="eastAsia"/>
          <w:b/>
          <w:color w:val="000000"/>
          <w:szCs w:val="21"/>
        </w:rPr>
        <w:t>一、课程信息</w:t>
      </w:r>
      <w:r>
        <w:rPr>
          <w:rFonts w:hint="eastAsia"/>
          <w:b/>
          <w:color w:val="000000"/>
          <w:szCs w:val="21"/>
        </w:rPr>
        <w:t xml:space="preserve"> </w:t>
      </w:r>
      <w:r>
        <w:rPr>
          <w:rFonts w:hint="eastAsia"/>
          <w:color w:val="000000"/>
          <w:szCs w:val="21"/>
        </w:rPr>
        <w:t xml:space="preserve">   </w:t>
      </w:r>
      <w:r>
        <w:rPr>
          <w:rFonts w:hint="eastAsia"/>
          <w:b/>
          <w:color w:val="000000"/>
          <w:szCs w:val="21"/>
        </w:rPr>
        <w:t>课程编号：</w:t>
      </w:r>
      <w:r>
        <w:rPr>
          <w:color w:val="000000"/>
          <w:szCs w:val="21"/>
        </w:rPr>
        <w:t>1901005006</w:t>
      </w:r>
      <w:r>
        <w:rPr>
          <w:rFonts w:hint="eastAsia"/>
          <w:color w:val="FF0000"/>
          <w:szCs w:val="21"/>
        </w:rPr>
        <w:t xml:space="preserve"> </w:t>
      </w:r>
      <w:r>
        <w:rPr>
          <w:rFonts w:hint="eastAsia"/>
          <w:szCs w:val="21"/>
        </w:rPr>
        <w:t xml:space="preserve"> </w:t>
      </w:r>
      <w:r>
        <w:rPr>
          <w:rFonts w:hint="eastAsia"/>
          <w:b/>
          <w:szCs w:val="21"/>
        </w:rPr>
        <w:t>中文：</w:t>
      </w:r>
      <w:r>
        <w:rPr>
          <w:rFonts w:hint="eastAsia"/>
          <w:szCs w:val="21"/>
        </w:rPr>
        <w:t>医学基础</w:t>
      </w:r>
      <w:r>
        <w:rPr>
          <w:rFonts w:hint="eastAsia"/>
          <w:szCs w:val="21"/>
        </w:rPr>
        <w:t xml:space="preserve">II    </w:t>
      </w:r>
      <w:r>
        <w:rPr>
          <w:rFonts w:hint="eastAsia"/>
          <w:b/>
          <w:szCs w:val="21"/>
        </w:rPr>
        <w:t>英文：</w:t>
      </w:r>
      <w:r>
        <w:rPr>
          <w:rFonts w:hint="eastAsia"/>
          <w:sz w:val="24"/>
        </w:rPr>
        <w:t>Basic Medicine</w:t>
      </w:r>
    </w:p>
    <w:p w:rsidR="001279B7" w:rsidRDefault="00D5639B">
      <w:pPr>
        <w:spacing w:line="360" w:lineRule="auto"/>
        <w:rPr>
          <w:szCs w:val="21"/>
        </w:rPr>
      </w:pPr>
      <w:r>
        <w:rPr>
          <w:rFonts w:hint="eastAsia"/>
          <w:b/>
          <w:szCs w:val="21"/>
        </w:rPr>
        <w:t xml:space="preserve">    </w:t>
      </w:r>
      <w:r>
        <w:rPr>
          <w:rFonts w:hint="eastAsia"/>
          <w:b/>
          <w:szCs w:val="21"/>
        </w:rPr>
        <w:t>二、开课学院（系）、</w:t>
      </w:r>
      <w:r>
        <w:rPr>
          <w:rFonts w:hint="eastAsia"/>
          <w:b/>
        </w:rPr>
        <w:t>系（教研室）</w:t>
      </w:r>
      <w:r>
        <w:rPr>
          <w:rFonts w:hint="eastAsia"/>
          <w:b/>
          <w:szCs w:val="21"/>
        </w:rPr>
        <w:t>：</w:t>
      </w:r>
      <w:r>
        <w:rPr>
          <w:rFonts w:hint="eastAsia"/>
          <w:szCs w:val="21"/>
        </w:rPr>
        <w:t>基础医学院生物化学与分子生物学系</w:t>
      </w:r>
    </w:p>
    <w:p w:rsidR="001279B7" w:rsidRDefault="00D5639B">
      <w:pPr>
        <w:spacing w:line="360" w:lineRule="auto"/>
        <w:ind w:left="843" w:hangingChars="400" w:hanging="843"/>
        <w:rPr>
          <w:b/>
        </w:rPr>
      </w:pPr>
      <w:r>
        <w:rPr>
          <w:rFonts w:hint="eastAsia"/>
          <w:b/>
          <w:szCs w:val="21"/>
        </w:rPr>
        <w:t xml:space="preserve">    </w:t>
      </w:r>
      <w:r>
        <w:rPr>
          <w:rFonts w:hint="eastAsia"/>
          <w:b/>
          <w:szCs w:val="21"/>
        </w:rPr>
        <w:t>三、学时学分：</w:t>
      </w:r>
      <w:r>
        <w:rPr>
          <w:rFonts w:hint="eastAsia"/>
          <w:b/>
        </w:rPr>
        <w:t>学分：</w:t>
      </w:r>
      <w:r w:rsidRPr="00A2117F">
        <w:rPr>
          <w:rFonts w:hint="eastAsia"/>
        </w:rPr>
        <w:t>3.5</w:t>
      </w:r>
      <w:r>
        <w:rPr>
          <w:rFonts w:hint="eastAsia"/>
          <w:b/>
        </w:rPr>
        <w:t>；</w:t>
      </w:r>
      <w:r>
        <w:rPr>
          <w:b/>
        </w:rPr>
        <w:t xml:space="preserve"> </w:t>
      </w:r>
      <w:r>
        <w:rPr>
          <w:rFonts w:hint="eastAsia"/>
          <w:b/>
        </w:rPr>
        <w:t>总学时：</w:t>
      </w:r>
      <w:r w:rsidRPr="00A2117F">
        <w:rPr>
          <w:rFonts w:hint="eastAsia"/>
        </w:rPr>
        <w:t>63</w:t>
      </w:r>
      <w:r>
        <w:rPr>
          <w:rFonts w:hint="eastAsia"/>
          <w:b/>
        </w:rPr>
        <w:t>；理论学时：</w:t>
      </w:r>
      <w:r w:rsidRPr="00A2117F">
        <w:rPr>
          <w:rFonts w:hint="eastAsia"/>
        </w:rPr>
        <w:t>54</w:t>
      </w:r>
      <w:r w:rsidRPr="00A2117F">
        <w:rPr>
          <w:rFonts w:hint="eastAsia"/>
        </w:rPr>
        <w:t>（</w:t>
      </w:r>
      <w:r w:rsidR="00B21940" w:rsidRPr="00A2117F">
        <w:rPr>
          <w:rFonts w:hint="eastAsia"/>
        </w:rPr>
        <w:t>含</w:t>
      </w:r>
      <w:r w:rsidRPr="00A2117F">
        <w:t>自主学习</w:t>
      </w:r>
      <w:r w:rsidRPr="00A2117F">
        <w:rPr>
          <w:rFonts w:hint="eastAsia"/>
        </w:rPr>
        <w:t>3</w:t>
      </w:r>
      <w:r w:rsidRPr="00A2117F">
        <w:t>学时</w:t>
      </w:r>
      <w:r w:rsidRPr="00A2117F">
        <w:rPr>
          <w:rFonts w:hint="eastAsia"/>
        </w:rPr>
        <w:t>）</w:t>
      </w:r>
      <w:r>
        <w:rPr>
          <w:rFonts w:hint="eastAsia"/>
          <w:b/>
        </w:rPr>
        <w:t>；实验</w:t>
      </w:r>
      <w:r>
        <w:rPr>
          <w:rFonts w:hint="eastAsia"/>
          <w:b/>
          <w:szCs w:val="21"/>
        </w:rPr>
        <w:t>或实践</w:t>
      </w:r>
      <w:r>
        <w:rPr>
          <w:rFonts w:hint="eastAsia"/>
          <w:b/>
        </w:rPr>
        <w:t>学时：</w:t>
      </w:r>
      <w:r w:rsidRPr="00A2117F">
        <w:rPr>
          <w:rFonts w:hint="eastAsia"/>
        </w:rPr>
        <w:t>9</w:t>
      </w:r>
    </w:p>
    <w:p w:rsidR="001279B7" w:rsidRDefault="00D5639B">
      <w:pPr>
        <w:spacing w:line="360" w:lineRule="auto"/>
        <w:rPr>
          <w:szCs w:val="21"/>
        </w:rPr>
      </w:pPr>
      <w:r>
        <w:rPr>
          <w:rFonts w:hint="eastAsia"/>
          <w:b/>
          <w:szCs w:val="21"/>
        </w:rPr>
        <w:t xml:space="preserve">    </w:t>
      </w:r>
      <w:r>
        <w:rPr>
          <w:rFonts w:hint="eastAsia"/>
          <w:b/>
          <w:szCs w:val="21"/>
        </w:rPr>
        <w:t>四、</w:t>
      </w:r>
      <w:r>
        <w:rPr>
          <w:rFonts w:hint="eastAsia"/>
          <w:b/>
        </w:rPr>
        <w:t>授课适应对象：</w:t>
      </w:r>
      <w:r w:rsidRPr="00D5639B">
        <w:rPr>
          <w:rFonts w:ascii="宋体" w:hAnsi="宋体" w:hint="eastAsia"/>
        </w:rPr>
        <w:t>临床医学</w:t>
      </w:r>
      <w:r w:rsidR="00B21940" w:rsidRPr="00D5639B">
        <w:rPr>
          <w:rFonts w:ascii="宋体" w:hAnsi="宋体" w:hint="eastAsia"/>
        </w:rPr>
        <w:t>（</w:t>
      </w:r>
      <w:r w:rsidR="00B21940" w:rsidRPr="00B21940">
        <w:rPr>
          <w:rFonts w:ascii="宋体" w:hAnsi="宋体" w:hint="eastAsia"/>
        </w:rPr>
        <w:t>“5+</w:t>
      </w:r>
      <w:r w:rsidR="00B21940" w:rsidRPr="00B21940">
        <w:rPr>
          <w:rFonts w:ascii="宋体" w:hAnsi="宋体"/>
        </w:rPr>
        <w:t>3</w:t>
      </w:r>
      <w:r w:rsidR="00B21940" w:rsidRPr="00B21940">
        <w:rPr>
          <w:rFonts w:ascii="宋体" w:hAnsi="宋体" w:hint="eastAsia"/>
        </w:rPr>
        <w:t>”一体化、儿科学</w:t>
      </w:r>
      <w:r w:rsidR="00B21940" w:rsidRPr="00D5639B">
        <w:rPr>
          <w:rFonts w:ascii="宋体" w:hAnsi="宋体" w:hint="eastAsia"/>
        </w:rPr>
        <w:t>）</w:t>
      </w:r>
      <w:r w:rsidR="00B21940" w:rsidRPr="00B21940">
        <w:rPr>
          <w:rFonts w:ascii="宋体" w:hAnsi="宋体" w:hint="eastAsia"/>
        </w:rPr>
        <w:t>专业</w:t>
      </w:r>
    </w:p>
    <w:p w:rsidR="001279B7" w:rsidRDefault="00D5639B">
      <w:pPr>
        <w:spacing w:line="360" w:lineRule="auto"/>
        <w:rPr>
          <w:b/>
          <w:szCs w:val="21"/>
        </w:rPr>
      </w:pPr>
      <w:r>
        <w:rPr>
          <w:rFonts w:hint="eastAsia"/>
          <w:b/>
          <w:szCs w:val="21"/>
        </w:rPr>
        <w:t xml:space="preserve">    </w:t>
      </w:r>
      <w:r>
        <w:rPr>
          <w:rFonts w:hint="eastAsia"/>
          <w:b/>
          <w:szCs w:val="21"/>
        </w:rPr>
        <w:t>五、课程基本内容简介：</w:t>
      </w:r>
    </w:p>
    <w:p w:rsidR="001279B7" w:rsidRDefault="00D5639B">
      <w:pPr>
        <w:spacing w:line="360" w:lineRule="auto"/>
        <w:ind w:leftChars="200" w:left="420" w:firstLineChars="200" w:firstLine="420"/>
        <w:rPr>
          <w:szCs w:val="21"/>
        </w:rPr>
      </w:pPr>
      <w:r>
        <w:rPr>
          <w:rFonts w:hint="eastAsia"/>
          <w:szCs w:val="21"/>
        </w:rPr>
        <w:t>生物化学与分子生物学是一门基础医学的必修课程，是研究生物体内化学分子与化学反应的基础生命学科，主要内容包括蛋白质、酶、核苷酸和核酸的结构与功能、物质代谢及其调节、基因信息的表达与调控和基因工程。机体在生理</w:t>
      </w:r>
      <w:r>
        <w:rPr>
          <w:rFonts w:hint="eastAsia"/>
          <w:color w:val="000000"/>
          <w:szCs w:val="21"/>
        </w:rPr>
        <w:t>状态依赖于体内物质代谢的平衡，而病理状态反映了生物大分子以及物质代谢的异常。随着科学研究的发展，生物化学融入了生理学、细胞生物学、遗传学、免疫学以及生物信息学等学科的理论和技术，</w:t>
      </w:r>
      <w:r>
        <w:rPr>
          <w:rFonts w:hint="eastAsia"/>
          <w:szCs w:val="21"/>
        </w:rPr>
        <w:t>为医学各学科从分子水平上研究疾病发生机制与治疗提供了理论与技术基础。</w:t>
      </w:r>
    </w:p>
    <w:p w:rsidR="001279B7" w:rsidRDefault="00D5639B">
      <w:pPr>
        <w:spacing w:line="360" w:lineRule="auto"/>
        <w:ind w:leftChars="200" w:left="420" w:firstLineChars="200" w:firstLine="420"/>
        <w:rPr>
          <w:szCs w:val="21"/>
        </w:rPr>
      </w:pPr>
      <w:r>
        <w:rPr>
          <w:rFonts w:hint="eastAsia"/>
          <w:szCs w:val="21"/>
        </w:rPr>
        <w:t>随着近代医学的发展，分子生物学的理论和技术被越来越多地应用于疾病的预防、诊断和治疗。本课程在介绍分子生物学基本知识、基本理论和技术的基础上，尽可能包含相关领域的较新进展、新知识及其对医学的影响，满足临床</w:t>
      </w:r>
      <w:r>
        <w:rPr>
          <w:rFonts w:hint="eastAsia"/>
          <w:szCs w:val="21"/>
        </w:rPr>
        <w:t>5+3</w:t>
      </w:r>
      <w:r>
        <w:rPr>
          <w:rFonts w:hint="eastAsia"/>
          <w:szCs w:val="21"/>
        </w:rPr>
        <w:t>专业的教学要求。内容包括：分子生物学基本原理和实验技术；疾病的分子生物学基础、分子诊断等。</w:t>
      </w:r>
    </w:p>
    <w:p w:rsidR="001279B7" w:rsidRDefault="00D5639B">
      <w:pPr>
        <w:spacing w:line="360" w:lineRule="auto"/>
        <w:rPr>
          <w:b/>
          <w:szCs w:val="21"/>
        </w:rPr>
      </w:pPr>
      <w:r>
        <w:rPr>
          <w:rFonts w:hint="eastAsia"/>
          <w:b/>
          <w:szCs w:val="21"/>
        </w:rPr>
        <w:t xml:space="preserve">    </w:t>
      </w:r>
      <w:r>
        <w:rPr>
          <w:rFonts w:hint="eastAsia"/>
          <w:b/>
          <w:szCs w:val="21"/>
        </w:rPr>
        <w:t>六、</w:t>
      </w:r>
      <w:r>
        <w:rPr>
          <w:rFonts w:hint="eastAsia"/>
          <w:b/>
        </w:rPr>
        <w:t>教学目标</w:t>
      </w:r>
    </w:p>
    <w:p w:rsidR="001279B7" w:rsidRDefault="00D5639B">
      <w:pPr>
        <w:spacing w:line="360" w:lineRule="auto"/>
        <w:rPr>
          <w:b/>
          <w:szCs w:val="21"/>
        </w:rPr>
      </w:pPr>
      <w:r>
        <w:rPr>
          <w:rFonts w:hint="eastAsia"/>
          <w:b/>
          <w:szCs w:val="21"/>
        </w:rPr>
        <w:t xml:space="preserve">    1.</w:t>
      </w:r>
      <w:r>
        <w:rPr>
          <w:b/>
          <w:szCs w:val="21"/>
        </w:rPr>
        <w:t xml:space="preserve"> </w:t>
      </w:r>
      <w:r>
        <w:rPr>
          <w:rFonts w:hint="eastAsia"/>
          <w:b/>
          <w:szCs w:val="21"/>
        </w:rPr>
        <w:t>知识学习目标</w:t>
      </w:r>
    </w:p>
    <w:p w:rsidR="001279B7" w:rsidRDefault="00D5639B">
      <w:pPr>
        <w:spacing w:line="360" w:lineRule="auto"/>
        <w:rPr>
          <w:szCs w:val="21"/>
        </w:rPr>
      </w:pPr>
      <w:r>
        <w:rPr>
          <w:rFonts w:hint="eastAsia"/>
          <w:szCs w:val="21"/>
        </w:rPr>
        <w:t xml:space="preserve"> </w:t>
      </w:r>
      <w:r>
        <w:rPr>
          <w:szCs w:val="21"/>
        </w:rPr>
        <w:t xml:space="preserve">   </w:t>
      </w:r>
      <w:r>
        <w:rPr>
          <w:rFonts w:ascii="宋体" w:hAnsi="宋体" w:cs="Arial" w:hint="eastAsia"/>
          <w:bCs/>
          <w:kern w:val="0"/>
          <w:szCs w:val="21"/>
        </w:rPr>
        <w:t>生物化学教学旨在通过理论课程和实验课程使学生掌握生物化学的基本理论、基本知识和基本技能。分子生物学及实验的教学以学生掌握分子生物学基本原理和实验技术以及相关领域的较新进展、新知识为教学目标。</w:t>
      </w:r>
    </w:p>
    <w:p w:rsidR="001279B7" w:rsidRDefault="00D5639B">
      <w:pPr>
        <w:spacing w:line="360" w:lineRule="auto"/>
        <w:rPr>
          <w:b/>
          <w:szCs w:val="21"/>
        </w:rPr>
      </w:pPr>
      <w:r>
        <w:rPr>
          <w:rFonts w:hint="eastAsia"/>
          <w:b/>
          <w:szCs w:val="21"/>
        </w:rPr>
        <w:t xml:space="preserve">    2.</w:t>
      </w:r>
      <w:r>
        <w:rPr>
          <w:b/>
          <w:szCs w:val="21"/>
        </w:rPr>
        <w:t xml:space="preserve"> </w:t>
      </w:r>
      <w:r>
        <w:rPr>
          <w:rFonts w:hint="eastAsia"/>
          <w:b/>
          <w:szCs w:val="21"/>
        </w:rPr>
        <w:t>技能学习目标</w:t>
      </w:r>
    </w:p>
    <w:p w:rsidR="001279B7" w:rsidRDefault="00D5639B">
      <w:pPr>
        <w:spacing w:line="360" w:lineRule="auto"/>
        <w:rPr>
          <w:szCs w:val="21"/>
        </w:rPr>
      </w:pPr>
      <w:r>
        <w:rPr>
          <w:rFonts w:hint="eastAsia"/>
          <w:szCs w:val="21"/>
        </w:rPr>
        <w:t xml:space="preserve"> </w:t>
      </w:r>
      <w:r>
        <w:rPr>
          <w:szCs w:val="21"/>
        </w:rPr>
        <w:t xml:space="preserve">   </w:t>
      </w:r>
      <w:r>
        <w:rPr>
          <w:rFonts w:hint="eastAsia"/>
          <w:szCs w:val="21"/>
        </w:rPr>
        <w:t>掌握生物化学与分子生物学的基本实验操作技能。</w:t>
      </w:r>
    </w:p>
    <w:p w:rsidR="001279B7" w:rsidRDefault="00D5639B">
      <w:pPr>
        <w:spacing w:line="360" w:lineRule="auto"/>
        <w:ind w:firstLine="420"/>
        <w:rPr>
          <w:b/>
          <w:szCs w:val="21"/>
        </w:rPr>
      </w:pPr>
      <w:r>
        <w:rPr>
          <w:rFonts w:hint="eastAsia"/>
          <w:b/>
          <w:szCs w:val="21"/>
        </w:rPr>
        <w:t>3.</w:t>
      </w:r>
      <w:r>
        <w:rPr>
          <w:b/>
          <w:szCs w:val="21"/>
        </w:rPr>
        <w:t xml:space="preserve"> </w:t>
      </w:r>
      <w:r>
        <w:rPr>
          <w:rFonts w:hint="eastAsia"/>
          <w:b/>
          <w:szCs w:val="21"/>
        </w:rPr>
        <w:t>思政目标</w:t>
      </w: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560"/>
        <w:gridCol w:w="1984"/>
        <w:gridCol w:w="2410"/>
        <w:gridCol w:w="2126"/>
      </w:tblGrid>
      <w:tr w:rsidR="001279B7">
        <w:tc>
          <w:tcPr>
            <w:tcW w:w="675" w:type="dxa"/>
          </w:tcPr>
          <w:p w:rsidR="001279B7" w:rsidRDefault="00D5639B">
            <w:pPr>
              <w:spacing w:line="288" w:lineRule="auto"/>
              <w:rPr>
                <w:b/>
              </w:rPr>
            </w:pPr>
            <w:r>
              <w:rPr>
                <w:rFonts w:hint="eastAsia"/>
                <w:b/>
              </w:rPr>
              <w:lastRenderedPageBreak/>
              <w:t>序号</w:t>
            </w:r>
          </w:p>
        </w:tc>
        <w:tc>
          <w:tcPr>
            <w:tcW w:w="1560" w:type="dxa"/>
          </w:tcPr>
          <w:p w:rsidR="001279B7" w:rsidRDefault="00D5639B">
            <w:pPr>
              <w:spacing w:line="288" w:lineRule="auto"/>
              <w:jc w:val="center"/>
              <w:rPr>
                <w:b/>
              </w:rPr>
            </w:pPr>
            <w:r>
              <w:rPr>
                <w:rFonts w:hint="eastAsia"/>
                <w:b/>
              </w:rPr>
              <w:t>章节</w:t>
            </w:r>
          </w:p>
        </w:tc>
        <w:tc>
          <w:tcPr>
            <w:tcW w:w="1984" w:type="dxa"/>
          </w:tcPr>
          <w:p w:rsidR="001279B7" w:rsidRDefault="00D5639B">
            <w:pPr>
              <w:spacing w:line="288" w:lineRule="auto"/>
              <w:jc w:val="center"/>
              <w:rPr>
                <w:b/>
              </w:rPr>
            </w:pPr>
            <w:r>
              <w:rPr>
                <w:rFonts w:hint="eastAsia"/>
                <w:b/>
              </w:rPr>
              <w:t>专业知识点</w:t>
            </w:r>
          </w:p>
        </w:tc>
        <w:tc>
          <w:tcPr>
            <w:tcW w:w="2410" w:type="dxa"/>
          </w:tcPr>
          <w:p w:rsidR="001279B7" w:rsidRDefault="00D5639B">
            <w:pPr>
              <w:spacing w:line="288" w:lineRule="auto"/>
              <w:jc w:val="center"/>
              <w:rPr>
                <w:b/>
              </w:rPr>
            </w:pPr>
            <w:r>
              <w:rPr>
                <w:rFonts w:hint="eastAsia"/>
                <w:b/>
              </w:rPr>
              <w:t>思政元素点</w:t>
            </w:r>
          </w:p>
        </w:tc>
        <w:tc>
          <w:tcPr>
            <w:tcW w:w="2126" w:type="dxa"/>
          </w:tcPr>
          <w:p w:rsidR="001279B7" w:rsidRDefault="00D5639B">
            <w:pPr>
              <w:spacing w:line="288" w:lineRule="auto"/>
              <w:jc w:val="center"/>
              <w:rPr>
                <w:b/>
              </w:rPr>
            </w:pPr>
            <w:r>
              <w:rPr>
                <w:rFonts w:hint="eastAsia"/>
                <w:b/>
              </w:rPr>
              <w:t>思政目标</w:t>
            </w:r>
          </w:p>
        </w:tc>
      </w:tr>
      <w:tr w:rsidR="001279B7">
        <w:tc>
          <w:tcPr>
            <w:tcW w:w="675" w:type="dxa"/>
            <w:vAlign w:val="center"/>
          </w:tcPr>
          <w:p w:rsidR="001279B7" w:rsidRDefault="00D5639B">
            <w:pPr>
              <w:spacing w:line="288" w:lineRule="auto"/>
              <w:jc w:val="center"/>
              <w:rPr>
                <w:b/>
              </w:rPr>
            </w:pPr>
            <w:r>
              <w:rPr>
                <w:rFonts w:hint="eastAsia"/>
                <w:b/>
              </w:rPr>
              <w:t>1</w:t>
            </w:r>
          </w:p>
        </w:tc>
        <w:tc>
          <w:tcPr>
            <w:tcW w:w="1560" w:type="dxa"/>
          </w:tcPr>
          <w:p w:rsidR="001279B7" w:rsidRDefault="00D5639B">
            <w:pPr>
              <w:spacing w:line="288" w:lineRule="auto"/>
            </w:pPr>
            <w:r>
              <w:rPr>
                <w:rFonts w:hint="eastAsia"/>
              </w:rPr>
              <w:t>蛋白质结构与功能</w:t>
            </w:r>
          </w:p>
        </w:tc>
        <w:tc>
          <w:tcPr>
            <w:tcW w:w="1984" w:type="dxa"/>
          </w:tcPr>
          <w:p w:rsidR="001279B7" w:rsidRDefault="00D5639B">
            <w:pPr>
              <w:spacing w:line="288" w:lineRule="auto"/>
            </w:pPr>
            <w:r>
              <w:rPr>
                <w:rFonts w:hint="eastAsia"/>
              </w:rPr>
              <w:t>蛋白质一级结构</w:t>
            </w:r>
          </w:p>
        </w:tc>
        <w:tc>
          <w:tcPr>
            <w:tcW w:w="2410" w:type="dxa"/>
          </w:tcPr>
          <w:p w:rsidR="001279B7" w:rsidRDefault="00D5639B">
            <w:pPr>
              <w:spacing w:line="288" w:lineRule="auto"/>
            </w:pPr>
            <w:r>
              <w:rPr>
                <w:rFonts w:hint="eastAsia"/>
              </w:rPr>
              <w:t>我国科研工作者于上世纪六十年代首次人工合成结晶牛胰岛素。</w:t>
            </w:r>
          </w:p>
        </w:tc>
        <w:tc>
          <w:tcPr>
            <w:tcW w:w="2126" w:type="dxa"/>
          </w:tcPr>
          <w:p w:rsidR="001279B7" w:rsidRDefault="00D5639B">
            <w:pPr>
              <w:spacing w:line="288" w:lineRule="auto"/>
            </w:pPr>
            <w:r>
              <w:rPr>
                <w:rFonts w:hint="eastAsia"/>
              </w:rPr>
              <w:t>使学生了解并学习我国科学家不畏困难进行科技攻关的精神。</w:t>
            </w:r>
          </w:p>
        </w:tc>
      </w:tr>
      <w:tr w:rsidR="001279B7">
        <w:tc>
          <w:tcPr>
            <w:tcW w:w="675" w:type="dxa"/>
            <w:vAlign w:val="center"/>
          </w:tcPr>
          <w:p w:rsidR="001279B7" w:rsidRDefault="00D5639B">
            <w:pPr>
              <w:spacing w:line="288" w:lineRule="auto"/>
              <w:jc w:val="center"/>
              <w:rPr>
                <w:b/>
              </w:rPr>
            </w:pPr>
            <w:r>
              <w:rPr>
                <w:rFonts w:hint="eastAsia"/>
                <w:b/>
              </w:rPr>
              <w:t>2</w:t>
            </w:r>
          </w:p>
        </w:tc>
        <w:tc>
          <w:tcPr>
            <w:tcW w:w="1560" w:type="dxa"/>
          </w:tcPr>
          <w:p w:rsidR="001279B7" w:rsidRDefault="00D5639B">
            <w:pPr>
              <w:spacing w:line="288" w:lineRule="auto"/>
              <w:rPr>
                <w:rFonts w:ascii="宋体" w:hAnsi="宋体"/>
              </w:rPr>
            </w:pPr>
            <w:r>
              <w:rPr>
                <w:rFonts w:ascii="宋体" w:hAnsi="宋体" w:hint="eastAsia"/>
              </w:rPr>
              <w:t>DNA的生物合成</w:t>
            </w:r>
          </w:p>
        </w:tc>
        <w:tc>
          <w:tcPr>
            <w:tcW w:w="1984" w:type="dxa"/>
          </w:tcPr>
          <w:p w:rsidR="001279B7" w:rsidRDefault="00D5639B" w:rsidP="00B21940">
            <w:pPr>
              <w:spacing w:line="288" w:lineRule="auto"/>
              <w:ind w:firstLineChars="98" w:firstLine="206"/>
              <w:rPr>
                <w:rFonts w:ascii="宋体" w:hAnsi="宋体"/>
              </w:rPr>
            </w:pPr>
            <w:r>
              <w:rPr>
                <w:rFonts w:ascii="宋体" w:hAnsi="宋体" w:hint="eastAsia"/>
              </w:rPr>
              <w:t>逆转录</w:t>
            </w:r>
          </w:p>
        </w:tc>
        <w:tc>
          <w:tcPr>
            <w:tcW w:w="2410" w:type="dxa"/>
          </w:tcPr>
          <w:p w:rsidR="001279B7" w:rsidRDefault="00D5639B">
            <w:pPr>
              <w:spacing w:line="288" w:lineRule="auto"/>
              <w:rPr>
                <w:rFonts w:ascii="宋体" w:hAnsi="宋体"/>
              </w:rPr>
            </w:pPr>
            <w:r>
              <w:rPr>
                <w:rFonts w:ascii="宋体" w:hAnsi="宋体" w:hint="eastAsia"/>
              </w:rPr>
              <w:t>新冠病毒RNA快速检测技术为我国抗击疫情提供了有力保障。</w:t>
            </w:r>
          </w:p>
        </w:tc>
        <w:tc>
          <w:tcPr>
            <w:tcW w:w="2126" w:type="dxa"/>
          </w:tcPr>
          <w:p w:rsidR="001279B7" w:rsidRDefault="00D5639B">
            <w:pPr>
              <w:spacing w:line="288" w:lineRule="auto"/>
              <w:rPr>
                <w:rFonts w:ascii="宋体" w:hAnsi="宋体"/>
              </w:rPr>
            </w:pPr>
            <w:r>
              <w:rPr>
                <w:rFonts w:ascii="宋体" w:hAnsi="宋体" w:hint="eastAsia"/>
              </w:rPr>
              <w:t>从过去我国是“人类基因组计划”的少数参与国家，到现在我国的新冠病毒检测技术准确、快速。激发学生的爱国热情和民族自豪感。引导学生树立为解除人类病痛而不懈奋斗的人生目标。</w:t>
            </w:r>
          </w:p>
        </w:tc>
      </w:tr>
      <w:tr w:rsidR="001279B7">
        <w:tc>
          <w:tcPr>
            <w:tcW w:w="675" w:type="dxa"/>
            <w:vAlign w:val="center"/>
          </w:tcPr>
          <w:p w:rsidR="001279B7" w:rsidRDefault="00D5639B">
            <w:pPr>
              <w:spacing w:line="288" w:lineRule="auto"/>
              <w:jc w:val="center"/>
              <w:rPr>
                <w:b/>
              </w:rPr>
            </w:pPr>
            <w:r>
              <w:rPr>
                <w:rFonts w:hint="eastAsia"/>
                <w:b/>
              </w:rPr>
              <w:t>3</w:t>
            </w:r>
          </w:p>
        </w:tc>
        <w:tc>
          <w:tcPr>
            <w:tcW w:w="1560" w:type="dxa"/>
          </w:tcPr>
          <w:p w:rsidR="001279B7" w:rsidRDefault="00D5639B">
            <w:pPr>
              <w:spacing w:line="288" w:lineRule="auto"/>
              <w:rPr>
                <w:b/>
              </w:rPr>
            </w:pPr>
            <w:r>
              <w:rPr>
                <w:rFonts w:ascii="宋体" w:hAnsi="宋体" w:hint="eastAsia"/>
              </w:rPr>
              <w:t>RNA的生物合成</w:t>
            </w:r>
          </w:p>
        </w:tc>
        <w:tc>
          <w:tcPr>
            <w:tcW w:w="1984" w:type="dxa"/>
          </w:tcPr>
          <w:p w:rsidR="001279B7" w:rsidRDefault="00D5639B">
            <w:pPr>
              <w:spacing w:line="288" w:lineRule="auto"/>
            </w:pPr>
            <w:r>
              <w:rPr>
                <w:rFonts w:hint="eastAsia"/>
              </w:rPr>
              <w:t>转录后加工</w:t>
            </w:r>
            <w:r>
              <w:rPr>
                <w:rFonts w:hint="eastAsia"/>
              </w:rPr>
              <w:t>-</w:t>
            </w:r>
            <w:r>
              <w:rPr>
                <w:rFonts w:hint="eastAsia"/>
              </w:rPr>
              <w:t>剪接作用</w:t>
            </w:r>
          </w:p>
        </w:tc>
        <w:tc>
          <w:tcPr>
            <w:tcW w:w="2410" w:type="dxa"/>
          </w:tcPr>
          <w:p w:rsidR="001279B7" w:rsidRDefault="00D5639B">
            <w:pPr>
              <w:spacing w:line="288" w:lineRule="auto"/>
              <w:rPr>
                <w:rFonts w:ascii="宋体" w:hAnsi="宋体"/>
              </w:rPr>
            </w:pPr>
            <w:r>
              <w:rPr>
                <w:rFonts w:ascii="宋体" w:hAnsi="宋体" w:hint="eastAsia"/>
              </w:rPr>
              <w:t>我国科研工作者施一公教授及其团队首次将剪接体介导的RNA剪接过程完整的串联起来，为理解RNA剪接的分子机理提供了最清晰、最全面的结构信息。</w:t>
            </w:r>
          </w:p>
        </w:tc>
        <w:tc>
          <w:tcPr>
            <w:tcW w:w="2126" w:type="dxa"/>
          </w:tcPr>
          <w:p w:rsidR="001279B7" w:rsidRDefault="00D5639B">
            <w:pPr>
              <w:spacing w:line="288" w:lineRule="auto"/>
              <w:rPr>
                <w:rFonts w:ascii="宋体" w:hAnsi="宋体"/>
              </w:rPr>
            </w:pPr>
            <w:r>
              <w:rPr>
                <w:rFonts w:ascii="宋体" w:hAnsi="宋体" w:hint="eastAsia"/>
              </w:rPr>
              <w:t>激励学生学习科学家求真务实、积极探索、勇于攀登科学高峰的科学精神。</w:t>
            </w:r>
          </w:p>
        </w:tc>
      </w:tr>
    </w:tbl>
    <w:p w:rsidR="001279B7" w:rsidRDefault="001279B7">
      <w:pPr>
        <w:spacing w:line="360" w:lineRule="auto"/>
        <w:ind w:firstLine="420"/>
        <w:rPr>
          <w:b/>
          <w:szCs w:val="21"/>
        </w:rPr>
      </w:pPr>
    </w:p>
    <w:p w:rsidR="001279B7" w:rsidRDefault="00D5639B">
      <w:pPr>
        <w:spacing w:line="360" w:lineRule="auto"/>
        <w:ind w:firstLineChars="196" w:firstLine="413"/>
        <w:rPr>
          <w:b/>
        </w:rPr>
      </w:pPr>
      <w:r>
        <w:rPr>
          <w:rFonts w:hint="eastAsia"/>
          <w:b/>
        </w:rPr>
        <w:t>七、主要教学方法：</w:t>
      </w:r>
    </w:p>
    <w:p w:rsidR="001279B7" w:rsidRDefault="00D5639B">
      <w:pPr>
        <w:spacing w:line="360" w:lineRule="auto"/>
        <w:ind w:firstLineChars="245" w:firstLine="517"/>
        <w:rPr>
          <w:b/>
        </w:rPr>
      </w:pPr>
      <w:r>
        <w:rPr>
          <w:rFonts w:hint="eastAsia"/>
          <w:b/>
        </w:rPr>
        <w:t>1.</w:t>
      </w:r>
      <w:r>
        <w:rPr>
          <w:b/>
        </w:rPr>
        <w:t xml:space="preserve"> </w:t>
      </w:r>
      <w:r>
        <w:rPr>
          <w:rFonts w:hint="eastAsia"/>
          <w:b/>
        </w:rPr>
        <w:t>课堂讲授</w:t>
      </w:r>
    </w:p>
    <w:p w:rsidR="001279B7" w:rsidRDefault="00D5639B">
      <w:pPr>
        <w:spacing w:line="360" w:lineRule="auto"/>
      </w:pPr>
      <w:r>
        <w:rPr>
          <w:rFonts w:hint="eastAsia"/>
        </w:rPr>
        <w:t xml:space="preserve"> </w:t>
      </w:r>
      <w:r>
        <w:t xml:space="preserve">   </w:t>
      </w:r>
      <w:r>
        <w:rPr>
          <w:rFonts w:hint="eastAsia"/>
        </w:rPr>
        <w:t>多媒体为主、结合板书等其它形式进行课堂教学，使学生理解记忆相关知识和内在逻辑。以闭卷考试为考核方式。</w:t>
      </w:r>
    </w:p>
    <w:p w:rsidR="001279B7" w:rsidRDefault="00D5639B">
      <w:pPr>
        <w:spacing w:line="360" w:lineRule="auto"/>
        <w:ind w:firstLineChars="196" w:firstLine="413"/>
        <w:rPr>
          <w:b/>
        </w:rPr>
      </w:pPr>
      <w:r>
        <w:rPr>
          <w:rFonts w:hint="eastAsia"/>
          <w:b/>
        </w:rPr>
        <w:t>2.</w:t>
      </w:r>
      <w:r>
        <w:rPr>
          <w:b/>
        </w:rPr>
        <w:t xml:space="preserve"> </w:t>
      </w:r>
      <w:r>
        <w:rPr>
          <w:rFonts w:hint="eastAsia"/>
          <w:b/>
        </w:rPr>
        <w:t>实验教学</w:t>
      </w:r>
    </w:p>
    <w:p w:rsidR="001279B7" w:rsidRDefault="00D5639B">
      <w:pPr>
        <w:spacing w:line="360" w:lineRule="auto"/>
      </w:pPr>
      <w:r>
        <w:t xml:space="preserve">    </w:t>
      </w:r>
      <w:r>
        <w:rPr>
          <w:rFonts w:hint="eastAsia"/>
        </w:rPr>
        <w:t>全班每</w:t>
      </w:r>
      <w:r>
        <w:rPr>
          <w:rFonts w:hint="eastAsia"/>
        </w:rPr>
        <w:t>2/3</w:t>
      </w:r>
      <w:r>
        <w:rPr>
          <w:rFonts w:hint="eastAsia"/>
        </w:rPr>
        <w:t>人一组进行实验。教师对实验原理和操作步骤进行讲授，辅以教学录像。学生按要求进行操作和记录，完成实验报告。对学生的出勤、操作及实验报告质量进行考查。</w:t>
      </w:r>
    </w:p>
    <w:p w:rsidR="001279B7" w:rsidRDefault="00D5639B">
      <w:pPr>
        <w:spacing w:line="360" w:lineRule="auto"/>
        <w:ind w:firstLineChars="196" w:firstLine="413"/>
        <w:rPr>
          <w:b/>
        </w:rPr>
      </w:pPr>
      <w:r>
        <w:rPr>
          <w:rFonts w:hint="eastAsia"/>
          <w:b/>
        </w:rPr>
        <w:t>3</w:t>
      </w:r>
      <w:r>
        <w:rPr>
          <w:b/>
        </w:rPr>
        <w:t xml:space="preserve">. </w:t>
      </w:r>
      <w:r>
        <w:rPr>
          <w:rFonts w:hint="eastAsia"/>
          <w:b/>
        </w:rPr>
        <w:t>自主学习</w:t>
      </w:r>
    </w:p>
    <w:p w:rsidR="001279B7" w:rsidRDefault="00D5639B">
      <w:pPr>
        <w:spacing w:line="360" w:lineRule="auto"/>
      </w:pPr>
      <w:r>
        <w:rPr>
          <w:rFonts w:hint="eastAsia"/>
        </w:rPr>
        <w:t xml:space="preserve"> </w:t>
      </w:r>
      <w:r>
        <w:t xml:space="preserve">   </w:t>
      </w:r>
      <w:r>
        <w:rPr>
          <w:rFonts w:hint="eastAsia"/>
        </w:rPr>
        <w:t>课前：学生根据自主学习材料提前准备</w:t>
      </w:r>
      <w:r>
        <w:rPr>
          <w:rFonts w:hint="eastAsia"/>
        </w:rPr>
        <w:t>PPT</w:t>
      </w:r>
      <w:r>
        <w:rPr>
          <w:rFonts w:hint="eastAsia"/>
        </w:rPr>
        <w:t>；课上：教师根据学生</w:t>
      </w:r>
      <w:r>
        <w:rPr>
          <w:rFonts w:hint="eastAsia"/>
        </w:rPr>
        <w:t>PPT</w:t>
      </w:r>
      <w:r>
        <w:rPr>
          <w:rFonts w:hint="eastAsia"/>
        </w:rPr>
        <w:t>质量请部分学生进行课堂展示，并在组内和组间进行充分讨论，最后由教师进行总结和梳理。</w:t>
      </w:r>
    </w:p>
    <w:p w:rsidR="001279B7" w:rsidRDefault="00D5639B">
      <w:pPr>
        <w:spacing w:line="360" w:lineRule="auto"/>
      </w:pPr>
      <w:r>
        <w:t xml:space="preserve">    </w:t>
      </w:r>
      <w:r>
        <w:rPr>
          <w:rFonts w:hint="eastAsia"/>
        </w:rPr>
        <w:t>以</w:t>
      </w:r>
      <w:r>
        <w:rPr>
          <w:rFonts w:hint="eastAsia"/>
        </w:rPr>
        <w:t>PPT</w:t>
      </w:r>
      <w:r>
        <w:rPr>
          <w:rFonts w:hint="eastAsia"/>
        </w:rPr>
        <w:t>质量（</w:t>
      </w:r>
      <w:r>
        <w:rPr>
          <w:rFonts w:hint="eastAsia"/>
        </w:rPr>
        <w:t>5</w:t>
      </w:r>
      <w:r>
        <w:t>0</w:t>
      </w:r>
      <w:r>
        <w:rPr>
          <w:rFonts w:hint="eastAsia"/>
        </w:rPr>
        <w:t>%</w:t>
      </w:r>
      <w:r>
        <w:rPr>
          <w:rFonts w:hint="eastAsia"/>
        </w:rPr>
        <w:t>）、出勤（</w:t>
      </w:r>
      <w:r>
        <w:rPr>
          <w:rFonts w:hint="eastAsia"/>
        </w:rPr>
        <w:t>5%</w:t>
      </w:r>
      <w:r>
        <w:rPr>
          <w:rFonts w:hint="eastAsia"/>
        </w:rPr>
        <w:t>）和课堂参与（</w:t>
      </w:r>
      <w:r>
        <w:rPr>
          <w:rFonts w:hint="eastAsia"/>
        </w:rPr>
        <w:t>4</w:t>
      </w:r>
      <w:r>
        <w:t>5</w:t>
      </w:r>
      <w:r>
        <w:rPr>
          <w:rFonts w:hint="eastAsia"/>
        </w:rPr>
        <w:t>%</w:t>
      </w:r>
      <w:r>
        <w:rPr>
          <w:rFonts w:hint="eastAsia"/>
        </w:rPr>
        <w:t>）作为考查内容。</w:t>
      </w:r>
    </w:p>
    <w:p w:rsidR="001279B7" w:rsidRDefault="001279B7">
      <w:pPr>
        <w:spacing w:line="360" w:lineRule="auto"/>
      </w:pPr>
    </w:p>
    <w:p w:rsidR="001279B7" w:rsidRDefault="00D5639B">
      <w:pPr>
        <w:spacing w:line="360" w:lineRule="auto"/>
        <w:ind w:firstLineChars="196" w:firstLine="413"/>
        <w:rPr>
          <w:b/>
        </w:rPr>
      </w:pPr>
      <w:r>
        <w:rPr>
          <w:rFonts w:hint="eastAsia"/>
          <w:b/>
        </w:rPr>
        <w:t>八、参考教材（名称、主编、出版社、出版时间）：</w:t>
      </w:r>
    </w:p>
    <w:p w:rsidR="001279B7" w:rsidRDefault="00D5639B">
      <w:pPr>
        <w:autoSpaceDE w:val="0"/>
        <w:autoSpaceDN w:val="0"/>
        <w:adjustRightInd w:val="0"/>
        <w:spacing w:line="360" w:lineRule="auto"/>
        <w:ind w:leftChars="100" w:left="210"/>
        <w:jc w:val="left"/>
        <w:rPr>
          <w:kern w:val="0"/>
          <w:szCs w:val="21"/>
        </w:rPr>
      </w:pPr>
      <w:r>
        <w:rPr>
          <w:kern w:val="0"/>
          <w:szCs w:val="21"/>
        </w:rPr>
        <w:t>1. Robert K. Murray et al, Harper’s Illustrated Biochemistry 30th Edition, New York: The McGraw-Hill Companies, 2014.</w:t>
      </w:r>
      <w:r>
        <w:rPr>
          <w:rFonts w:hint="eastAsia"/>
          <w:kern w:val="0"/>
          <w:szCs w:val="21"/>
        </w:rPr>
        <w:t xml:space="preserve"> </w:t>
      </w:r>
    </w:p>
    <w:p w:rsidR="001279B7" w:rsidRDefault="00D5639B">
      <w:pPr>
        <w:autoSpaceDE w:val="0"/>
        <w:autoSpaceDN w:val="0"/>
        <w:adjustRightInd w:val="0"/>
        <w:spacing w:line="360" w:lineRule="auto"/>
        <w:ind w:leftChars="100" w:left="210"/>
        <w:jc w:val="left"/>
        <w:rPr>
          <w:kern w:val="0"/>
          <w:szCs w:val="21"/>
        </w:rPr>
      </w:pPr>
      <w:r>
        <w:rPr>
          <w:rFonts w:hint="eastAsia"/>
          <w:kern w:val="0"/>
          <w:szCs w:val="21"/>
        </w:rPr>
        <w:t xml:space="preserve">2. </w:t>
      </w:r>
      <w:r>
        <w:rPr>
          <w:kern w:val="0"/>
          <w:szCs w:val="21"/>
        </w:rPr>
        <w:t>Albert Lehninger,</w:t>
      </w:r>
      <w:r>
        <w:rPr>
          <w:rFonts w:hint="eastAsia"/>
          <w:kern w:val="0"/>
          <w:szCs w:val="21"/>
        </w:rPr>
        <w:t xml:space="preserve"> </w:t>
      </w:r>
      <w:r>
        <w:rPr>
          <w:kern w:val="0"/>
          <w:szCs w:val="21"/>
        </w:rPr>
        <w:t>Davia L Nelson, Michael M Cox.</w:t>
      </w:r>
      <w:r>
        <w:rPr>
          <w:szCs w:val="21"/>
        </w:rPr>
        <w:t xml:space="preserve"> Lehninger Principles of Biochemistry, </w:t>
      </w:r>
      <w:r>
        <w:rPr>
          <w:kern w:val="0"/>
          <w:szCs w:val="21"/>
        </w:rPr>
        <w:t>5</w:t>
      </w:r>
      <w:r>
        <w:rPr>
          <w:kern w:val="0"/>
          <w:szCs w:val="21"/>
          <w:vertAlign w:val="superscript"/>
        </w:rPr>
        <w:t>th</w:t>
      </w:r>
      <w:r>
        <w:rPr>
          <w:kern w:val="0"/>
          <w:szCs w:val="21"/>
        </w:rPr>
        <w:t xml:space="preserve"> Edition, McGraw-Hill, 2008.</w:t>
      </w:r>
    </w:p>
    <w:p w:rsidR="001279B7" w:rsidRDefault="00D5639B">
      <w:pPr>
        <w:autoSpaceDE w:val="0"/>
        <w:autoSpaceDN w:val="0"/>
        <w:adjustRightInd w:val="0"/>
        <w:spacing w:line="360" w:lineRule="auto"/>
        <w:ind w:leftChars="100" w:left="210"/>
        <w:jc w:val="left"/>
        <w:rPr>
          <w:kern w:val="0"/>
          <w:szCs w:val="21"/>
        </w:rPr>
      </w:pPr>
      <w:r>
        <w:rPr>
          <w:rFonts w:hint="eastAsia"/>
          <w:kern w:val="0"/>
          <w:szCs w:val="21"/>
        </w:rPr>
        <w:t>3</w:t>
      </w:r>
      <w:r>
        <w:rPr>
          <w:kern w:val="0"/>
          <w:szCs w:val="21"/>
        </w:rPr>
        <w:t xml:space="preserve">. </w:t>
      </w:r>
      <w:r>
        <w:rPr>
          <w:rStyle w:val="ptbrand5"/>
          <w:bCs/>
          <w:szCs w:val="21"/>
        </w:rPr>
        <w:t>Philip Kuchel, Simon Easterbrook-Smith, Vanessa Gysbers and J. Mitchell Guss</w:t>
      </w:r>
      <w:r>
        <w:rPr>
          <w:bCs/>
          <w:szCs w:val="21"/>
        </w:rPr>
        <w:t xml:space="preserve"> </w:t>
      </w:r>
      <w:r>
        <w:rPr>
          <w:rFonts w:hint="eastAsia"/>
          <w:bCs/>
          <w:szCs w:val="21"/>
        </w:rPr>
        <w:t>.</w:t>
      </w:r>
      <w:r>
        <w:rPr>
          <w:szCs w:val="21"/>
        </w:rPr>
        <w:t xml:space="preserve">Schaum's Outline of </w:t>
      </w:r>
      <w:r>
        <w:rPr>
          <w:szCs w:val="21"/>
        </w:rPr>
        <w:lastRenderedPageBreak/>
        <w:t>Biochemistry,</w:t>
      </w:r>
      <w:r>
        <w:rPr>
          <w:kern w:val="0"/>
          <w:szCs w:val="21"/>
        </w:rPr>
        <w:t xml:space="preserve"> 3</w:t>
      </w:r>
      <w:r>
        <w:rPr>
          <w:kern w:val="0"/>
          <w:szCs w:val="21"/>
          <w:vertAlign w:val="superscript"/>
        </w:rPr>
        <w:t>th</w:t>
      </w:r>
      <w:r>
        <w:rPr>
          <w:kern w:val="0"/>
          <w:szCs w:val="21"/>
        </w:rPr>
        <w:t xml:space="preserve"> Edition, McGraw-Hill, 2010.</w:t>
      </w:r>
    </w:p>
    <w:p w:rsidR="001279B7" w:rsidRDefault="00D5639B">
      <w:pPr>
        <w:autoSpaceDE w:val="0"/>
        <w:autoSpaceDN w:val="0"/>
        <w:adjustRightInd w:val="0"/>
        <w:spacing w:line="360" w:lineRule="auto"/>
        <w:ind w:firstLineChars="50" w:firstLine="105"/>
        <w:jc w:val="left"/>
        <w:rPr>
          <w:bCs/>
          <w:szCs w:val="21"/>
        </w:rPr>
      </w:pPr>
      <w:r>
        <w:rPr>
          <w:rStyle w:val="ptbrand5"/>
          <w:rFonts w:hint="eastAsia"/>
          <w:bCs/>
          <w:szCs w:val="21"/>
        </w:rPr>
        <w:t>4</w:t>
      </w:r>
      <w:r>
        <w:rPr>
          <w:rStyle w:val="ptbrand5"/>
          <w:bCs/>
          <w:szCs w:val="21"/>
        </w:rPr>
        <w:t>.</w:t>
      </w:r>
      <w:r>
        <w:rPr>
          <w:rStyle w:val="ptbrand5"/>
          <w:rFonts w:hint="eastAsia"/>
          <w:bCs/>
          <w:szCs w:val="21"/>
        </w:rPr>
        <w:t xml:space="preserve"> </w:t>
      </w:r>
      <w:r>
        <w:rPr>
          <w:rFonts w:hint="eastAsia"/>
        </w:rPr>
        <w:t>周春燕、药立波主编，生物化学及分子生物学（第</w:t>
      </w:r>
      <w:r>
        <w:rPr>
          <w:rFonts w:hint="eastAsia"/>
        </w:rPr>
        <w:t>9</w:t>
      </w:r>
      <w:r>
        <w:rPr>
          <w:rFonts w:hint="eastAsia"/>
        </w:rPr>
        <w:t>版），北京：人民卫生出版社，</w:t>
      </w:r>
      <w:r>
        <w:rPr>
          <w:rFonts w:hint="eastAsia"/>
        </w:rPr>
        <w:t>2018.</w:t>
      </w:r>
    </w:p>
    <w:p w:rsidR="001279B7" w:rsidRDefault="00D5639B">
      <w:pPr>
        <w:widowControl/>
        <w:spacing w:line="360" w:lineRule="auto"/>
        <w:ind w:firstLineChars="50" w:firstLine="105"/>
        <w:jc w:val="left"/>
        <w:rPr>
          <w:szCs w:val="21"/>
        </w:rPr>
      </w:pPr>
      <w:r>
        <w:rPr>
          <w:rFonts w:hint="eastAsia"/>
          <w:szCs w:val="21"/>
        </w:rPr>
        <w:t xml:space="preserve">5. </w:t>
      </w:r>
      <w:r>
        <w:rPr>
          <w:rFonts w:hint="eastAsia"/>
          <w:szCs w:val="21"/>
        </w:rPr>
        <w:t>李刚、贺俊崎主编，生物化学（第</w:t>
      </w:r>
      <w:r>
        <w:rPr>
          <w:rFonts w:hint="eastAsia"/>
          <w:szCs w:val="21"/>
        </w:rPr>
        <w:t>4</w:t>
      </w:r>
      <w:r>
        <w:rPr>
          <w:rFonts w:hint="eastAsia"/>
          <w:szCs w:val="21"/>
        </w:rPr>
        <w:t>版），北京：北京大学医学出版社，</w:t>
      </w:r>
      <w:r>
        <w:rPr>
          <w:rFonts w:hint="eastAsia"/>
          <w:szCs w:val="21"/>
        </w:rPr>
        <w:t>2018.</w:t>
      </w:r>
    </w:p>
    <w:p w:rsidR="001279B7" w:rsidRDefault="00D5639B">
      <w:pPr>
        <w:widowControl/>
        <w:spacing w:line="360" w:lineRule="auto"/>
        <w:ind w:firstLineChars="50" w:firstLine="105"/>
        <w:jc w:val="left"/>
        <w:rPr>
          <w:szCs w:val="21"/>
        </w:rPr>
      </w:pPr>
      <w:r>
        <w:rPr>
          <w:rFonts w:hint="eastAsia"/>
          <w:szCs w:val="21"/>
        </w:rPr>
        <w:t xml:space="preserve">6. </w:t>
      </w:r>
      <w:r>
        <w:rPr>
          <w:rFonts w:hint="eastAsia"/>
          <w:szCs w:val="21"/>
        </w:rPr>
        <w:t>查锡良主编，医学分子生物学，</w:t>
      </w:r>
      <w:r>
        <w:rPr>
          <w:rFonts w:hint="eastAsia"/>
        </w:rPr>
        <w:t>北京：</w:t>
      </w:r>
      <w:r>
        <w:rPr>
          <w:rFonts w:hint="eastAsia"/>
          <w:szCs w:val="21"/>
        </w:rPr>
        <w:t>人民卫生出版社，</w:t>
      </w:r>
      <w:r>
        <w:rPr>
          <w:rFonts w:hint="eastAsia"/>
          <w:szCs w:val="21"/>
        </w:rPr>
        <w:t>2006</w:t>
      </w:r>
      <w:r>
        <w:rPr>
          <w:szCs w:val="21"/>
        </w:rPr>
        <w:t>.</w:t>
      </w:r>
    </w:p>
    <w:p w:rsidR="001279B7" w:rsidRDefault="001279B7">
      <w:pPr>
        <w:rPr>
          <w:b/>
          <w:szCs w:val="21"/>
          <w:u w:val="single"/>
        </w:rPr>
      </w:pPr>
    </w:p>
    <w:p w:rsidR="001279B7" w:rsidRDefault="00D5639B">
      <w:pPr>
        <w:spacing w:line="360" w:lineRule="auto"/>
      </w:pPr>
      <w:r>
        <w:rPr>
          <w:rFonts w:hint="eastAsia"/>
          <w:b/>
        </w:rPr>
        <w:t xml:space="preserve">    </w:t>
      </w:r>
      <w:r>
        <w:rPr>
          <w:rFonts w:hint="eastAsia"/>
          <w:b/>
        </w:rPr>
        <w:t>九、教学学习</w:t>
      </w:r>
      <w:r>
        <w:rPr>
          <w:b/>
        </w:rPr>
        <w:t>资源</w:t>
      </w:r>
      <w:r>
        <w:rPr>
          <w:rFonts w:hint="eastAsia"/>
          <w:b/>
        </w:rPr>
        <w:t>或</w:t>
      </w:r>
      <w:r>
        <w:rPr>
          <w:b/>
        </w:rPr>
        <w:t>平台</w:t>
      </w:r>
      <w:r>
        <w:rPr>
          <w:rFonts w:hint="eastAsia"/>
          <w:b/>
        </w:rPr>
        <w:t>：</w:t>
      </w:r>
    </w:p>
    <w:p w:rsidR="001279B7" w:rsidRDefault="00D5639B">
      <w:pPr>
        <w:spacing w:line="288" w:lineRule="auto"/>
        <w:rPr>
          <w:b/>
          <w:szCs w:val="21"/>
        </w:rPr>
      </w:pPr>
      <w:r>
        <w:rPr>
          <w:rFonts w:hint="eastAsia"/>
          <w:b/>
        </w:rPr>
        <w:t xml:space="preserve">    </w:t>
      </w:r>
      <w:r>
        <w:rPr>
          <w:rFonts w:ascii="宋体" w:hAnsi="宋体" w:hint="eastAsia"/>
          <w:szCs w:val="21"/>
        </w:rPr>
        <w:t>生物化学与分子生物学（学习通）网络教学平台为学生提供《医用生物化学》和《分子生物学及实验》课程相关的学习资源。“章节”中包含课程所有章节的教学视频（录课）。“资料”中包括本课程资源及学习要求说明、教学进度与内容安排、各章节授课PPT和知识点总结、《生物化学》北医第4版电子版教材以及生物化学实验教学平台。</w:t>
      </w:r>
    </w:p>
    <w:p w:rsidR="001279B7" w:rsidRDefault="001279B7">
      <w:pPr>
        <w:spacing w:line="288" w:lineRule="auto"/>
        <w:rPr>
          <w:b/>
        </w:rPr>
      </w:pPr>
    </w:p>
    <w:p w:rsidR="001279B7" w:rsidRDefault="00D5639B" w:rsidP="002A09D0">
      <w:pPr>
        <w:spacing w:line="360" w:lineRule="auto"/>
        <w:ind w:firstLineChars="200" w:firstLine="422"/>
        <w:rPr>
          <w:b/>
        </w:rPr>
      </w:pPr>
      <w:r>
        <w:rPr>
          <w:rFonts w:hint="eastAsia"/>
          <w:b/>
        </w:rPr>
        <w:t>十、考核方式：</w:t>
      </w:r>
    </w:p>
    <w:p w:rsidR="001279B7" w:rsidRDefault="00D5639B" w:rsidP="002A09D0">
      <w:pPr>
        <w:autoSpaceDE w:val="0"/>
        <w:autoSpaceDN w:val="0"/>
        <w:adjustRightInd w:val="0"/>
        <w:spacing w:line="360" w:lineRule="auto"/>
        <w:ind w:left="210" w:hangingChars="100" w:hanging="210"/>
        <w:jc w:val="left"/>
        <w:rPr>
          <w:rStyle w:val="ptbrand5"/>
          <w:bCs/>
          <w:szCs w:val="21"/>
        </w:rPr>
      </w:pPr>
      <w:r>
        <w:rPr>
          <w:rStyle w:val="ptbrand5"/>
          <w:rFonts w:hint="eastAsia"/>
          <w:bCs/>
          <w:szCs w:val="21"/>
        </w:rPr>
        <w:t xml:space="preserve">     </w:t>
      </w:r>
      <w:r>
        <w:rPr>
          <w:rStyle w:val="ptbrand5"/>
          <w:rFonts w:hint="eastAsia"/>
          <w:bCs/>
          <w:szCs w:val="21"/>
        </w:rPr>
        <w:t>考核方式为形成性评价与终结性评价相结合。</w:t>
      </w:r>
    </w:p>
    <w:p w:rsidR="001279B7" w:rsidRDefault="00D5639B" w:rsidP="002A09D0">
      <w:pPr>
        <w:autoSpaceDE w:val="0"/>
        <w:autoSpaceDN w:val="0"/>
        <w:adjustRightInd w:val="0"/>
        <w:spacing w:line="360" w:lineRule="auto"/>
        <w:ind w:left="210" w:hangingChars="100" w:hanging="210"/>
        <w:jc w:val="left"/>
        <w:rPr>
          <w:szCs w:val="21"/>
          <w:u w:val="single"/>
        </w:rPr>
      </w:pPr>
      <w:r>
        <w:rPr>
          <w:rStyle w:val="ptbrand5"/>
          <w:rFonts w:hint="eastAsia"/>
          <w:bCs/>
          <w:szCs w:val="21"/>
        </w:rPr>
        <w:t xml:space="preserve">     </w:t>
      </w:r>
      <w:r>
        <w:rPr>
          <w:rStyle w:val="ptbrand5"/>
          <w:rFonts w:hint="eastAsia"/>
          <w:bCs/>
          <w:szCs w:val="21"/>
        </w:rPr>
        <w:t>形成性评价包括：（</w:t>
      </w:r>
      <w:r>
        <w:rPr>
          <w:rStyle w:val="ptbrand5"/>
          <w:rFonts w:hint="eastAsia"/>
          <w:bCs/>
          <w:szCs w:val="21"/>
        </w:rPr>
        <w:t>1</w:t>
      </w:r>
      <w:r>
        <w:rPr>
          <w:rStyle w:val="ptbrand5"/>
          <w:rFonts w:hint="eastAsia"/>
          <w:bCs/>
          <w:szCs w:val="21"/>
        </w:rPr>
        <w:t>）理论课每完成</w:t>
      </w:r>
      <w:r>
        <w:rPr>
          <w:rStyle w:val="ptbrand5"/>
          <w:rFonts w:hint="eastAsia"/>
          <w:bCs/>
          <w:szCs w:val="21"/>
        </w:rPr>
        <w:t>2-3</w:t>
      </w:r>
      <w:r>
        <w:rPr>
          <w:rStyle w:val="ptbrand5"/>
          <w:rFonts w:hint="eastAsia"/>
          <w:bCs/>
          <w:szCs w:val="21"/>
        </w:rPr>
        <w:t>章授课后进行一次小测验（小测在网络平台上完成，便于教师及时了解考核结果），检验学生听课效果和掌握知识点情况。（</w:t>
      </w:r>
      <w:r>
        <w:rPr>
          <w:rStyle w:val="ptbrand5"/>
          <w:rFonts w:hint="eastAsia"/>
          <w:bCs/>
          <w:szCs w:val="21"/>
        </w:rPr>
        <w:t>2</w:t>
      </w:r>
      <w:r>
        <w:rPr>
          <w:rStyle w:val="ptbrand5"/>
          <w:rFonts w:hint="eastAsia"/>
          <w:bCs/>
          <w:szCs w:val="21"/>
        </w:rPr>
        <w:t>）实验课上的表现和实验报告的完成情况计入平时成绩。</w:t>
      </w:r>
    </w:p>
    <w:p w:rsidR="001279B7" w:rsidRDefault="00D5639B" w:rsidP="00B21940">
      <w:pPr>
        <w:spacing w:line="288" w:lineRule="auto"/>
        <w:ind w:firstLineChars="298" w:firstLine="626"/>
      </w:pPr>
      <w:r>
        <w:rPr>
          <w:rFonts w:hint="eastAsia"/>
        </w:rPr>
        <w:t xml:space="preserve">1. </w:t>
      </w:r>
      <w:r>
        <w:rPr>
          <w:rFonts w:hint="eastAsia"/>
        </w:rPr>
        <w:t>期末考试为闭卷考试（机考）</w:t>
      </w:r>
    </w:p>
    <w:p w:rsidR="001279B7" w:rsidRDefault="00D5639B" w:rsidP="00B21940">
      <w:pPr>
        <w:spacing w:line="288" w:lineRule="auto"/>
        <w:ind w:firstLineChars="298" w:firstLine="626"/>
      </w:pPr>
      <w:r>
        <w:rPr>
          <w:rFonts w:hint="eastAsia"/>
        </w:rPr>
        <w:t xml:space="preserve">2. </w:t>
      </w:r>
      <w:r>
        <w:rPr>
          <w:rFonts w:hint="eastAsia"/>
        </w:rPr>
        <w:t>总成绩比例分配：</w:t>
      </w:r>
    </w:p>
    <w:p w:rsidR="001279B7" w:rsidRDefault="00D5639B" w:rsidP="00B21940">
      <w:pPr>
        <w:spacing w:line="288" w:lineRule="auto"/>
        <w:ind w:firstLineChars="348" w:firstLine="731"/>
      </w:pPr>
      <w:r>
        <w:rPr>
          <w:rFonts w:hint="eastAsia"/>
        </w:rPr>
        <w:t>（</w:t>
      </w:r>
      <w:r>
        <w:rPr>
          <w:rFonts w:hint="eastAsia"/>
        </w:rPr>
        <w:t>1</w:t>
      </w:r>
      <w:r>
        <w:rPr>
          <w:rFonts w:hint="eastAsia"/>
        </w:rPr>
        <w:t>）期末考试成绩占</w:t>
      </w:r>
      <w:r>
        <w:rPr>
          <w:rFonts w:hint="eastAsia"/>
        </w:rPr>
        <w:t>50%</w:t>
      </w:r>
    </w:p>
    <w:p w:rsidR="001279B7" w:rsidRDefault="00D5639B" w:rsidP="00B21940">
      <w:pPr>
        <w:spacing w:line="288" w:lineRule="auto"/>
        <w:ind w:firstLineChars="348" w:firstLine="731"/>
      </w:pPr>
      <w:r>
        <w:rPr>
          <w:rFonts w:hint="eastAsia"/>
        </w:rPr>
        <w:t>（</w:t>
      </w:r>
      <w:r>
        <w:rPr>
          <w:rFonts w:hint="eastAsia"/>
        </w:rPr>
        <w:t>2</w:t>
      </w:r>
      <w:r>
        <w:rPr>
          <w:rFonts w:hint="eastAsia"/>
        </w:rPr>
        <w:t>）平时成绩占</w:t>
      </w:r>
      <w:r>
        <w:rPr>
          <w:rFonts w:hint="eastAsia"/>
        </w:rPr>
        <w:t>50%</w:t>
      </w:r>
      <w:r>
        <w:rPr>
          <w:rFonts w:hint="eastAsia"/>
        </w:rPr>
        <w:t>：</w:t>
      </w:r>
      <w:r>
        <w:rPr>
          <w:rFonts w:hint="eastAsia"/>
        </w:rPr>
        <w:t xml:space="preserve"> </w:t>
      </w:r>
      <w:r>
        <w:rPr>
          <w:rFonts w:hint="eastAsia"/>
        </w:rPr>
        <w:t>实验</w:t>
      </w:r>
      <w:r>
        <w:rPr>
          <w:rFonts w:hint="eastAsia"/>
        </w:rPr>
        <w:t>20%</w:t>
      </w:r>
      <w:r>
        <w:rPr>
          <w:rFonts w:hint="eastAsia"/>
        </w:rPr>
        <w:t>，自主学习</w:t>
      </w:r>
      <w:r>
        <w:rPr>
          <w:rFonts w:hint="eastAsia"/>
        </w:rPr>
        <w:t xml:space="preserve"> 5%</w:t>
      </w:r>
      <w:r>
        <w:rPr>
          <w:rFonts w:hint="eastAsia"/>
        </w:rPr>
        <w:t>，小测验</w:t>
      </w:r>
      <w:r>
        <w:rPr>
          <w:rFonts w:hint="eastAsia"/>
        </w:rPr>
        <w:t>25%</w:t>
      </w:r>
    </w:p>
    <w:p w:rsidR="001279B7" w:rsidRDefault="001279B7">
      <w:pPr>
        <w:spacing w:line="288" w:lineRule="auto"/>
        <w:rPr>
          <w:b/>
        </w:rPr>
        <w:sectPr w:rsidR="001279B7">
          <w:headerReference w:type="default" r:id="rId7"/>
          <w:footerReference w:type="default" r:id="rId8"/>
          <w:pgSz w:w="11906" w:h="16838"/>
          <w:pgMar w:top="1077" w:right="1440" w:bottom="1077" w:left="1440" w:header="851" w:footer="992" w:gutter="0"/>
          <w:cols w:space="720"/>
          <w:docGrid w:linePitch="333" w:charSpace="-437"/>
        </w:sectPr>
      </w:pPr>
    </w:p>
    <w:p w:rsidR="001279B7" w:rsidRDefault="001279B7">
      <w:pPr>
        <w:spacing w:line="288" w:lineRule="auto"/>
        <w:rPr>
          <w:b/>
        </w:rPr>
      </w:pPr>
    </w:p>
    <w:p w:rsidR="001279B7" w:rsidRDefault="00D5639B">
      <w:pPr>
        <w:spacing w:line="288" w:lineRule="auto"/>
        <w:rPr>
          <w:b/>
        </w:rPr>
      </w:pPr>
      <w:r>
        <w:rPr>
          <w:rFonts w:hint="eastAsia"/>
          <w:b/>
        </w:rPr>
        <w:t>附表：教学计划表（在相应的表格内填写教学学时数）</w:t>
      </w:r>
    </w:p>
    <w:p w:rsidR="001279B7" w:rsidRDefault="001279B7">
      <w:pPr>
        <w:spacing w:line="360" w:lineRule="auto"/>
        <w:rPr>
          <w:b/>
          <w:sz w:val="24"/>
        </w:rPr>
      </w:pPr>
    </w:p>
    <w:tbl>
      <w:tblPr>
        <w:tblW w:w="111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1842"/>
        <w:gridCol w:w="1841"/>
        <w:gridCol w:w="3121"/>
      </w:tblGrid>
      <w:tr w:rsidR="001279B7">
        <w:trPr>
          <w:trHeight w:val="471"/>
        </w:trPr>
        <w:tc>
          <w:tcPr>
            <w:tcW w:w="709" w:type="dxa"/>
            <w:noWrap/>
            <w:vAlign w:val="center"/>
          </w:tcPr>
          <w:p w:rsidR="001279B7" w:rsidRDefault="00D5639B">
            <w:pPr>
              <w:widowControl/>
              <w:jc w:val="center"/>
              <w:rPr>
                <w:rFonts w:ascii="宋体" w:hAnsi="宋体" w:cs="宋体"/>
                <w:b/>
                <w:kern w:val="0"/>
                <w:szCs w:val="21"/>
              </w:rPr>
            </w:pPr>
            <w:r>
              <w:rPr>
                <w:rFonts w:ascii="宋体" w:hAnsi="宋体" w:cs="宋体" w:hint="eastAsia"/>
                <w:b/>
                <w:kern w:val="0"/>
                <w:szCs w:val="21"/>
              </w:rPr>
              <w:t>序号</w:t>
            </w:r>
          </w:p>
        </w:tc>
        <w:tc>
          <w:tcPr>
            <w:tcW w:w="3686" w:type="dxa"/>
            <w:noWrap/>
            <w:vAlign w:val="center"/>
          </w:tcPr>
          <w:p w:rsidR="001279B7" w:rsidRDefault="00D5639B">
            <w:pPr>
              <w:widowControl/>
              <w:jc w:val="center"/>
              <w:rPr>
                <w:rFonts w:ascii="宋体" w:hAnsi="宋体" w:cs="宋体"/>
                <w:b/>
                <w:kern w:val="0"/>
                <w:szCs w:val="21"/>
              </w:rPr>
            </w:pPr>
            <w:r>
              <w:rPr>
                <w:rFonts w:ascii="宋体" w:hAnsi="宋体" w:cs="宋体" w:hint="eastAsia"/>
                <w:b/>
                <w:kern w:val="0"/>
                <w:szCs w:val="21"/>
              </w:rPr>
              <w:t>学习内容</w:t>
            </w:r>
          </w:p>
        </w:tc>
        <w:tc>
          <w:tcPr>
            <w:tcW w:w="1842" w:type="dxa"/>
            <w:noWrap/>
            <w:vAlign w:val="center"/>
          </w:tcPr>
          <w:p w:rsidR="001279B7" w:rsidRDefault="00D5639B">
            <w:pPr>
              <w:widowControl/>
              <w:jc w:val="center"/>
              <w:rPr>
                <w:rFonts w:ascii="宋体" w:hAnsi="宋体" w:cs="宋体"/>
                <w:b/>
                <w:kern w:val="0"/>
                <w:szCs w:val="21"/>
              </w:rPr>
            </w:pPr>
            <w:r>
              <w:rPr>
                <w:rFonts w:ascii="宋体" w:hAnsi="宋体" w:cs="宋体" w:hint="eastAsia"/>
                <w:b/>
                <w:kern w:val="0"/>
                <w:szCs w:val="21"/>
              </w:rPr>
              <w:t>理论学时</w:t>
            </w:r>
          </w:p>
        </w:tc>
        <w:tc>
          <w:tcPr>
            <w:tcW w:w="1841" w:type="dxa"/>
            <w:vAlign w:val="center"/>
          </w:tcPr>
          <w:p w:rsidR="001279B7" w:rsidRDefault="00D5639B">
            <w:pPr>
              <w:widowControl/>
              <w:ind w:firstLineChars="100" w:firstLine="211"/>
              <w:jc w:val="center"/>
              <w:rPr>
                <w:rFonts w:ascii="宋体" w:hAnsi="宋体" w:cs="宋体"/>
                <w:b/>
                <w:kern w:val="0"/>
                <w:szCs w:val="21"/>
              </w:rPr>
            </w:pPr>
            <w:r>
              <w:rPr>
                <w:rFonts w:ascii="宋体" w:hAnsi="宋体" w:cs="宋体" w:hint="eastAsia"/>
                <w:b/>
                <w:kern w:val="0"/>
                <w:szCs w:val="21"/>
              </w:rPr>
              <w:t>实验学时</w:t>
            </w:r>
          </w:p>
        </w:tc>
        <w:tc>
          <w:tcPr>
            <w:tcW w:w="3121" w:type="dxa"/>
            <w:noWrap/>
            <w:vAlign w:val="center"/>
          </w:tcPr>
          <w:p w:rsidR="001279B7" w:rsidRDefault="00D5639B">
            <w:pPr>
              <w:widowControl/>
              <w:jc w:val="center"/>
              <w:rPr>
                <w:rFonts w:ascii="宋体" w:hAnsi="宋体" w:cs="宋体"/>
                <w:b/>
                <w:kern w:val="0"/>
                <w:szCs w:val="21"/>
              </w:rPr>
            </w:pPr>
            <w:r>
              <w:rPr>
                <w:rFonts w:ascii="宋体" w:hAnsi="宋体" w:cs="宋体" w:hint="eastAsia"/>
                <w:b/>
                <w:kern w:val="0"/>
                <w:szCs w:val="21"/>
              </w:rPr>
              <w:t>自主学习学时</w:t>
            </w:r>
          </w:p>
        </w:tc>
      </w:tr>
      <w:tr w:rsidR="001279B7">
        <w:trPr>
          <w:trHeight w:val="368"/>
        </w:trPr>
        <w:tc>
          <w:tcPr>
            <w:tcW w:w="709" w:type="dxa"/>
            <w:noWrap/>
            <w:vAlign w:val="center"/>
          </w:tcPr>
          <w:p w:rsidR="001279B7" w:rsidRDefault="00D5639B">
            <w:pPr>
              <w:widowControl/>
              <w:jc w:val="center"/>
              <w:rPr>
                <w:rFonts w:ascii="宋体" w:hAnsi="宋体" w:cs="宋体"/>
                <w:kern w:val="0"/>
                <w:szCs w:val="21"/>
              </w:rPr>
            </w:pPr>
            <w:r>
              <w:rPr>
                <w:rFonts w:ascii="宋体" w:hAnsi="宋体" w:cs="宋体" w:hint="eastAsia"/>
                <w:kern w:val="0"/>
                <w:szCs w:val="21"/>
              </w:rPr>
              <w:t>1</w:t>
            </w:r>
          </w:p>
        </w:tc>
        <w:tc>
          <w:tcPr>
            <w:tcW w:w="3686" w:type="dxa"/>
            <w:vAlign w:val="center"/>
          </w:tcPr>
          <w:p w:rsidR="001279B7" w:rsidRDefault="00D5639B">
            <w:pPr>
              <w:widowControl/>
              <w:jc w:val="center"/>
              <w:rPr>
                <w:rFonts w:ascii="宋体" w:hAnsi="宋体"/>
                <w:kern w:val="0"/>
                <w:szCs w:val="21"/>
              </w:rPr>
            </w:pPr>
            <w:r>
              <w:rPr>
                <w:rFonts w:ascii="宋体" w:hAnsi="宋体" w:hint="eastAsia"/>
                <w:kern w:val="0"/>
                <w:szCs w:val="21"/>
              </w:rPr>
              <w:t>绪论+蛋白质的结构与功能</w:t>
            </w:r>
          </w:p>
        </w:tc>
        <w:tc>
          <w:tcPr>
            <w:tcW w:w="1842" w:type="dxa"/>
            <w:noWrap/>
            <w:vAlign w:val="center"/>
          </w:tcPr>
          <w:p w:rsidR="001279B7" w:rsidRDefault="00D5639B">
            <w:pPr>
              <w:widowControl/>
              <w:jc w:val="center"/>
              <w:rPr>
                <w:rFonts w:ascii="宋体" w:hAnsi="宋体" w:cs="宋体"/>
                <w:b/>
                <w:kern w:val="0"/>
                <w:szCs w:val="21"/>
              </w:rPr>
            </w:pPr>
            <w:r>
              <w:rPr>
                <w:rFonts w:ascii="宋体" w:hAnsi="宋体" w:cs="宋体" w:hint="eastAsia"/>
                <w:b/>
                <w:kern w:val="0"/>
                <w:szCs w:val="21"/>
              </w:rPr>
              <w:t>3</w:t>
            </w:r>
          </w:p>
        </w:tc>
        <w:tc>
          <w:tcPr>
            <w:tcW w:w="1841" w:type="dxa"/>
            <w:vAlign w:val="center"/>
          </w:tcPr>
          <w:p w:rsidR="001279B7" w:rsidRDefault="001279B7">
            <w:pPr>
              <w:widowControl/>
              <w:jc w:val="center"/>
              <w:rPr>
                <w:rFonts w:ascii="宋体" w:hAnsi="宋体" w:cs="宋体"/>
                <w:kern w:val="0"/>
                <w:szCs w:val="21"/>
              </w:rPr>
            </w:pPr>
          </w:p>
        </w:tc>
        <w:tc>
          <w:tcPr>
            <w:tcW w:w="3121" w:type="dxa"/>
            <w:noWrap/>
            <w:vAlign w:val="center"/>
          </w:tcPr>
          <w:p w:rsidR="001279B7" w:rsidRDefault="001279B7">
            <w:pPr>
              <w:widowControl/>
              <w:jc w:val="center"/>
              <w:rPr>
                <w:rFonts w:ascii="宋体" w:hAnsi="宋体" w:cs="宋体"/>
                <w:kern w:val="0"/>
                <w:szCs w:val="21"/>
              </w:rPr>
            </w:pPr>
          </w:p>
        </w:tc>
      </w:tr>
      <w:tr w:rsidR="001279B7">
        <w:trPr>
          <w:trHeight w:val="273"/>
        </w:trPr>
        <w:tc>
          <w:tcPr>
            <w:tcW w:w="709" w:type="dxa"/>
            <w:noWrap/>
            <w:vAlign w:val="center"/>
          </w:tcPr>
          <w:p w:rsidR="001279B7" w:rsidRDefault="00D5639B">
            <w:pPr>
              <w:widowControl/>
              <w:jc w:val="center"/>
              <w:rPr>
                <w:rFonts w:ascii="宋体" w:hAnsi="宋体" w:cs="宋体"/>
                <w:kern w:val="0"/>
                <w:szCs w:val="21"/>
              </w:rPr>
            </w:pPr>
            <w:r>
              <w:rPr>
                <w:rFonts w:ascii="宋体" w:hAnsi="宋体" w:cs="宋体" w:hint="eastAsia"/>
                <w:kern w:val="0"/>
                <w:szCs w:val="21"/>
              </w:rPr>
              <w:t>2</w:t>
            </w:r>
          </w:p>
        </w:tc>
        <w:tc>
          <w:tcPr>
            <w:tcW w:w="3686" w:type="dxa"/>
            <w:vAlign w:val="center"/>
          </w:tcPr>
          <w:p w:rsidR="001279B7" w:rsidRDefault="00D5639B">
            <w:pPr>
              <w:widowControl/>
              <w:jc w:val="center"/>
              <w:rPr>
                <w:rFonts w:ascii="宋体" w:hAnsi="宋体" w:cs="宋体"/>
                <w:kern w:val="0"/>
                <w:szCs w:val="21"/>
              </w:rPr>
            </w:pPr>
            <w:r>
              <w:rPr>
                <w:rFonts w:ascii="宋体" w:hAnsi="宋体" w:cs="宋体" w:hint="eastAsia"/>
                <w:kern w:val="0"/>
                <w:szCs w:val="21"/>
              </w:rPr>
              <w:t>酶</w:t>
            </w:r>
          </w:p>
        </w:tc>
        <w:tc>
          <w:tcPr>
            <w:tcW w:w="1842" w:type="dxa"/>
            <w:noWrap/>
            <w:vAlign w:val="center"/>
          </w:tcPr>
          <w:p w:rsidR="001279B7" w:rsidRDefault="00D5639B">
            <w:pPr>
              <w:widowControl/>
              <w:jc w:val="center"/>
              <w:rPr>
                <w:rFonts w:ascii="宋体" w:hAnsi="宋体" w:cs="宋体"/>
                <w:b/>
                <w:kern w:val="0"/>
                <w:szCs w:val="21"/>
              </w:rPr>
            </w:pPr>
            <w:r>
              <w:rPr>
                <w:rFonts w:ascii="宋体" w:hAnsi="宋体" w:cs="宋体" w:hint="eastAsia"/>
                <w:b/>
                <w:kern w:val="0"/>
                <w:szCs w:val="21"/>
              </w:rPr>
              <w:t>3</w:t>
            </w:r>
          </w:p>
        </w:tc>
        <w:tc>
          <w:tcPr>
            <w:tcW w:w="1841" w:type="dxa"/>
            <w:vAlign w:val="center"/>
          </w:tcPr>
          <w:p w:rsidR="001279B7" w:rsidRDefault="001279B7">
            <w:pPr>
              <w:widowControl/>
              <w:jc w:val="center"/>
              <w:rPr>
                <w:rFonts w:ascii="宋体" w:hAnsi="宋体" w:cs="宋体"/>
                <w:kern w:val="0"/>
                <w:szCs w:val="21"/>
              </w:rPr>
            </w:pPr>
          </w:p>
        </w:tc>
        <w:tc>
          <w:tcPr>
            <w:tcW w:w="3121" w:type="dxa"/>
            <w:noWrap/>
            <w:vAlign w:val="center"/>
          </w:tcPr>
          <w:p w:rsidR="001279B7" w:rsidRDefault="001279B7">
            <w:pPr>
              <w:widowControl/>
              <w:jc w:val="center"/>
              <w:rPr>
                <w:rFonts w:ascii="宋体" w:hAnsi="宋体" w:cs="宋体"/>
                <w:kern w:val="0"/>
                <w:szCs w:val="21"/>
              </w:rPr>
            </w:pPr>
          </w:p>
        </w:tc>
      </w:tr>
      <w:tr w:rsidR="001279B7">
        <w:trPr>
          <w:trHeight w:val="376"/>
        </w:trPr>
        <w:tc>
          <w:tcPr>
            <w:tcW w:w="709" w:type="dxa"/>
            <w:noWrap/>
            <w:vAlign w:val="center"/>
          </w:tcPr>
          <w:p w:rsidR="001279B7" w:rsidRDefault="00D5639B">
            <w:pPr>
              <w:widowControl/>
              <w:jc w:val="center"/>
              <w:rPr>
                <w:rFonts w:ascii="宋体" w:hAnsi="宋体" w:cs="宋体"/>
                <w:kern w:val="0"/>
                <w:szCs w:val="21"/>
              </w:rPr>
            </w:pPr>
            <w:r>
              <w:rPr>
                <w:rFonts w:ascii="宋体" w:hAnsi="宋体" w:cs="宋体" w:hint="eastAsia"/>
                <w:kern w:val="0"/>
                <w:szCs w:val="21"/>
              </w:rPr>
              <w:t>3</w:t>
            </w:r>
          </w:p>
        </w:tc>
        <w:tc>
          <w:tcPr>
            <w:tcW w:w="3686" w:type="dxa"/>
            <w:vAlign w:val="center"/>
          </w:tcPr>
          <w:p w:rsidR="001279B7" w:rsidRDefault="00D5639B">
            <w:pPr>
              <w:widowControl/>
              <w:jc w:val="center"/>
              <w:rPr>
                <w:rFonts w:ascii="宋体" w:hAnsi="宋体"/>
                <w:kern w:val="0"/>
                <w:szCs w:val="21"/>
              </w:rPr>
            </w:pPr>
            <w:r>
              <w:rPr>
                <w:rFonts w:ascii="宋体" w:hAnsi="宋体" w:hint="eastAsia"/>
                <w:kern w:val="0"/>
                <w:szCs w:val="21"/>
              </w:rPr>
              <w:t>糖代谢</w:t>
            </w:r>
          </w:p>
        </w:tc>
        <w:tc>
          <w:tcPr>
            <w:tcW w:w="1842" w:type="dxa"/>
            <w:noWrap/>
            <w:vAlign w:val="center"/>
          </w:tcPr>
          <w:p w:rsidR="001279B7" w:rsidRDefault="00D5639B">
            <w:pPr>
              <w:widowControl/>
              <w:jc w:val="center"/>
              <w:rPr>
                <w:rFonts w:ascii="宋体" w:hAnsi="宋体" w:cs="宋体"/>
                <w:b/>
                <w:kern w:val="0"/>
                <w:szCs w:val="21"/>
              </w:rPr>
            </w:pPr>
            <w:r>
              <w:rPr>
                <w:rFonts w:ascii="宋体" w:hAnsi="宋体" w:cs="宋体" w:hint="eastAsia"/>
                <w:b/>
                <w:kern w:val="0"/>
                <w:szCs w:val="21"/>
              </w:rPr>
              <w:t>4</w:t>
            </w:r>
          </w:p>
        </w:tc>
        <w:tc>
          <w:tcPr>
            <w:tcW w:w="1841" w:type="dxa"/>
            <w:vAlign w:val="center"/>
          </w:tcPr>
          <w:p w:rsidR="001279B7" w:rsidRDefault="001279B7">
            <w:pPr>
              <w:widowControl/>
              <w:jc w:val="center"/>
              <w:rPr>
                <w:rFonts w:ascii="宋体" w:hAnsi="宋体" w:cs="宋体"/>
                <w:kern w:val="0"/>
                <w:szCs w:val="21"/>
              </w:rPr>
            </w:pPr>
          </w:p>
        </w:tc>
        <w:tc>
          <w:tcPr>
            <w:tcW w:w="3121" w:type="dxa"/>
            <w:noWrap/>
            <w:vAlign w:val="center"/>
          </w:tcPr>
          <w:p w:rsidR="001279B7" w:rsidRDefault="001279B7">
            <w:pPr>
              <w:widowControl/>
              <w:jc w:val="center"/>
              <w:rPr>
                <w:rFonts w:ascii="宋体" w:hAnsi="宋体" w:cs="宋体"/>
                <w:b/>
                <w:kern w:val="0"/>
                <w:szCs w:val="21"/>
              </w:rPr>
            </w:pPr>
          </w:p>
        </w:tc>
      </w:tr>
      <w:tr w:rsidR="00EF29A4">
        <w:trPr>
          <w:trHeight w:val="376"/>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4</w:t>
            </w:r>
          </w:p>
        </w:tc>
        <w:tc>
          <w:tcPr>
            <w:tcW w:w="3686" w:type="dxa"/>
            <w:vAlign w:val="center"/>
          </w:tcPr>
          <w:p w:rsidR="00EF29A4" w:rsidRDefault="00EF29A4">
            <w:pPr>
              <w:widowControl/>
              <w:jc w:val="center"/>
              <w:rPr>
                <w:rFonts w:ascii="宋体" w:hAnsi="宋体" w:hint="eastAsia"/>
                <w:kern w:val="0"/>
                <w:szCs w:val="21"/>
              </w:rPr>
            </w:pPr>
            <w:r>
              <w:rPr>
                <w:rFonts w:ascii="宋体" w:hAnsi="宋体" w:hint="eastAsia"/>
                <w:kern w:val="0"/>
                <w:szCs w:val="21"/>
              </w:rPr>
              <w:t>糖代谢紊乱</w:t>
            </w:r>
          </w:p>
        </w:tc>
        <w:tc>
          <w:tcPr>
            <w:tcW w:w="1842" w:type="dxa"/>
            <w:noWrap/>
            <w:vAlign w:val="center"/>
          </w:tcPr>
          <w:p w:rsidR="00EF29A4" w:rsidRDefault="00EF29A4">
            <w:pPr>
              <w:widowControl/>
              <w:jc w:val="center"/>
              <w:rPr>
                <w:rFonts w:ascii="宋体" w:hAnsi="宋体" w:cs="宋体" w:hint="eastAsia"/>
                <w:b/>
                <w:kern w:val="0"/>
                <w:szCs w:val="21"/>
              </w:rPr>
            </w:pP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hint="eastAsia"/>
                <w:b/>
                <w:kern w:val="0"/>
                <w:szCs w:val="21"/>
              </w:rPr>
            </w:pPr>
            <w:r>
              <w:rPr>
                <w:rFonts w:ascii="宋体" w:hAnsi="宋体" w:cs="宋体" w:hint="eastAsia"/>
                <w:b/>
                <w:kern w:val="0"/>
                <w:szCs w:val="21"/>
              </w:rPr>
              <w:t>3</w:t>
            </w:r>
          </w:p>
        </w:tc>
      </w:tr>
      <w:tr w:rsidR="00EF29A4">
        <w:trPr>
          <w:trHeight w:val="425"/>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5</w:t>
            </w:r>
          </w:p>
        </w:tc>
        <w:tc>
          <w:tcPr>
            <w:tcW w:w="3686" w:type="dxa"/>
            <w:vAlign w:val="center"/>
          </w:tcPr>
          <w:p w:rsidR="00EF29A4" w:rsidRDefault="00EF29A4">
            <w:pPr>
              <w:widowControl/>
              <w:jc w:val="center"/>
              <w:rPr>
                <w:rFonts w:ascii="宋体" w:hAnsi="宋体" w:cs="宋体"/>
                <w:kern w:val="0"/>
                <w:szCs w:val="21"/>
              </w:rPr>
            </w:pPr>
            <w:r>
              <w:rPr>
                <w:rFonts w:ascii="宋体" w:hAnsi="宋体" w:hint="eastAsia"/>
                <w:kern w:val="0"/>
                <w:szCs w:val="21"/>
              </w:rPr>
              <w:t>生物氧化</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2</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02"/>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6</w:t>
            </w:r>
          </w:p>
        </w:tc>
        <w:tc>
          <w:tcPr>
            <w:tcW w:w="3686" w:type="dxa"/>
            <w:vAlign w:val="center"/>
          </w:tcPr>
          <w:p w:rsidR="00EF29A4" w:rsidRDefault="00EF29A4">
            <w:pPr>
              <w:widowControl/>
              <w:jc w:val="center"/>
              <w:rPr>
                <w:rFonts w:ascii="宋体" w:hAnsi="宋体" w:cs="宋体"/>
                <w:kern w:val="0"/>
                <w:szCs w:val="21"/>
              </w:rPr>
            </w:pPr>
            <w:r>
              <w:rPr>
                <w:rFonts w:ascii="宋体" w:hAnsi="宋体" w:cs="宋体" w:hint="eastAsia"/>
                <w:kern w:val="0"/>
                <w:szCs w:val="21"/>
              </w:rPr>
              <w:t>脂代谢</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5</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22"/>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7</w:t>
            </w:r>
          </w:p>
        </w:tc>
        <w:tc>
          <w:tcPr>
            <w:tcW w:w="3686" w:type="dxa"/>
            <w:vAlign w:val="center"/>
          </w:tcPr>
          <w:p w:rsidR="00EF29A4" w:rsidRDefault="00EF29A4">
            <w:pPr>
              <w:widowControl/>
              <w:jc w:val="center"/>
              <w:rPr>
                <w:rFonts w:ascii="宋体" w:hAnsi="宋体"/>
                <w:kern w:val="0"/>
                <w:szCs w:val="21"/>
              </w:rPr>
            </w:pPr>
            <w:r>
              <w:rPr>
                <w:rFonts w:ascii="宋体" w:hAnsi="宋体" w:cs="宋体" w:hint="eastAsia"/>
                <w:kern w:val="0"/>
                <w:szCs w:val="21"/>
              </w:rPr>
              <w:t>氨基酸代谢</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4</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71"/>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8</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核酸的结构、功能和代谢</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4</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71"/>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9</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物质代谢的相互关系与调节</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2</w:t>
            </w:r>
          </w:p>
        </w:tc>
        <w:tc>
          <w:tcPr>
            <w:tcW w:w="1841" w:type="dxa"/>
            <w:vAlign w:val="center"/>
          </w:tcPr>
          <w:p w:rsidR="00EF29A4" w:rsidRDefault="00EF29A4">
            <w:pPr>
              <w:widowControl/>
              <w:jc w:val="center"/>
              <w:rPr>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301"/>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10</w:t>
            </w:r>
          </w:p>
        </w:tc>
        <w:tc>
          <w:tcPr>
            <w:tcW w:w="3686" w:type="dxa"/>
            <w:vAlign w:val="center"/>
          </w:tcPr>
          <w:p w:rsidR="00EF29A4" w:rsidRDefault="00EF29A4">
            <w:pPr>
              <w:widowControl/>
              <w:jc w:val="center"/>
              <w:rPr>
                <w:rFonts w:ascii="宋体" w:hAnsi="宋体"/>
                <w:kern w:val="0"/>
                <w:szCs w:val="21"/>
              </w:rPr>
            </w:pPr>
            <w:r>
              <w:rPr>
                <w:rFonts w:ascii="宋体" w:hAnsi="宋体"/>
                <w:kern w:val="0"/>
                <w:szCs w:val="21"/>
              </w:rPr>
              <w:t xml:space="preserve">DNA </w:t>
            </w:r>
            <w:r>
              <w:rPr>
                <w:rFonts w:ascii="宋体" w:hAnsi="宋体" w:hint="eastAsia"/>
                <w:kern w:val="0"/>
                <w:szCs w:val="21"/>
              </w:rPr>
              <w:t>的生物合成</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3</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71"/>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11</w:t>
            </w:r>
          </w:p>
        </w:tc>
        <w:tc>
          <w:tcPr>
            <w:tcW w:w="3686" w:type="dxa"/>
            <w:vAlign w:val="center"/>
          </w:tcPr>
          <w:p w:rsidR="00EF29A4" w:rsidRDefault="00EF29A4">
            <w:pPr>
              <w:widowControl/>
              <w:jc w:val="center"/>
              <w:rPr>
                <w:rFonts w:ascii="宋体" w:hAnsi="宋体"/>
                <w:kern w:val="0"/>
                <w:szCs w:val="21"/>
              </w:rPr>
            </w:pPr>
            <w:r>
              <w:rPr>
                <w:rFonts w:ascii="宋体" w:hAnsi="宋体"/>
                <w:kern w:val="0"/>
                <w:szCs w:val="21"/>
              </w:rPr>
              <w:t>RNA</w:t>
            </w:r>
            <w:r>
              <w:rPr>
                <w:rFonts w:ascii="宋体" w:hAnsi="宋体" w:hint="eastAsia"/>
                <w:kern w:val="0"/>
                <w:szCs w:val="21"/>
              </w:rPr>
              <w:t>的生物合成</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2</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71"/>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12</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蛋白质的生物合成</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3</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 w:val="24"/>
              </w:rPr>
            </w:pPr>
          </w:p>
        </w:tc>
      </w:tr>
      <w:tr w:rsidR="00EF29A4">
        <w:trPr>
          <w:trHeight w:val="471"/>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13</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基因表达调控</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2</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 w:val="24"/>
              </w:rPr>
            </w:pPr>
          </w:p>
        </w:tc>
      </w:tr>
      <w:tr w:rsidR="00EF29A4">
        <w:trPr>
          <w:trHeight w:val="471"/>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14</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细胞信号转导的分子机制</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2</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 w:val="24"/>
              </w:rPr>
            </w:pPr>
          </w:p>
        </w:tc>
      </w:tr>
      <w:tr w:rsidR="00EF29A4">
        <w:trPr>
          <w:trHeight w:val="318"/>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15</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血液的生物化学</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2</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 w:val="24"/>
              </w:rPr>
            </w:pPr>
          </w:p>
        </w:tc>
      </w:tr>
      <w:tr w:rsidR="00EF29A4">
        <w:trPr>
          <w:trHeight w:val="422"/>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16</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肝的生物化学</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2</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 w:val="24"/>
              </w:rPr>
            </w:pPr>
          </w:p>
        </w:tc>
      </w:tr>
      <w:tr w:rsidR="00EF29A4">
        <w:trPr>
          <w:trHeight w:val="301"/>
        </w:trPr>
        <w:tc>
          <w:tcPr>
            <w:tcW w:w="709" w:type="dxa"/>
            <w:noWrap/>
            <w:vAlign w:val="center"/>
          </w:tcPr>
          <w:p w:rsidR="00EF29A4" w:rsidRDefault="00EF29A4" w:rsidP="00421C80">
            <w:pPr>
              <w:widowControl/>
              <w:jc w:val="center"/>
              <w:rPr>
                <w:rFonts w:ascii="宋体" w:hAnsi="宋体" w:cs="宋体"/>
                <w:kern w:val="0"/>
                <w:szCs w:val="21"/>
              </w:rPr>
            </w:pPr>
            <w:r>
              <w:rPr>
                <w:rFonts w:ascii="宋体" w:hAnsi="宋体" w:cs="宋体" w:hint="eastAsia"/>
                <w:kern w:val="0"/>
                <w:szCs w:val="21"/>
              </w:rPr>
              <w:t>17</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重组DNA技术</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2</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04"/>
        </w:trPr>
        <w:tc>
          <w:tcPr>
            <w:tcW w:w="709" w:type="dxa"/>
            <w:noWrap/>
            <w:vAlign w:val="center"/>
          </w:tcPr>
          <w:p w:rsidR="00EF29A4" w:rsidRDefault="00EF29A4">
            <w:pPr>
              <w:widowControl/>
              <w:jc w:val="center"/>
              <w:rPr>
                <w:rFonts w:ascii="宋体" w:hAnsi="宋体" w:cs="宋体"/>
                <w:kern w:val="0"/>
                <w:szCs w:val="21"/>
              </w:rPr>
            </w:pPr>
            <w:r>
              <w:rPr>
                <w:rFonts w:ascii="宋体" w:hAnsi="宋体" w:cs="宋体" w:hint="eastAsia"/>
                <w:kern w:val="0"/>
                <w:szCs w:val="21"/>
              </w:rPr>
              <w:t>18</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癌基因、肿瘤抑制基因与生长因子</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3</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71"/>
        </w:trPr>
        <w:tc>
          <w:tcPr>
            <w:tcW w:w="709" w:type="dxa"/>
            <w:noWrap/>
            <w:vAlign w:val="center"/>
          </w:tcPr>
          <w:p w:rsidR="00EF29A4" w:rsidRDefault="00EF29A4" w:rsidP="00EF29A4">
            <w:pPr>
              <w:widowControl/>
              <w:jc w:val="center"/>
              <w:rPr>
                <w:rFonts w:ascii="宋体" w:hAnsi="宋体" w:cs="宋体"/>
                <w:kern w:val="0"/>
                <w:szCs w:val="21"/>
              </w:rPr>
            </w:pPr>
            <w:r>
              <w:rPr>
                <w:rFonts w:ascii="宋体" w:hAnsi="宋体" w:cs="宋体" w:hint="eastAsia"/>
                <w:kern w:val="0"/>
                <w:szCs w:val="21"/>
              </w:rPr>
              <w:lastRenderedPageBreak/>
              <w:t>19</w:t>
            </w:r>
          </w:p>
        </w:tc>
        <w:tc>
          <w:tcPr>
            <w:tcW w:w="3686" w:type="dxa"/>
            <w:vAlign w:val="center"/>
          </w:tcPr>
          <w:p w:rsidR="00EF29A4" w:rsidRDefault="00EF29A4">
            <w:pPr>
              <w:widowControl/>
              <w:jc w:val="center"/>
              <w:rPr>
                <w:rFonts w:ascii="宋体" w:hAnsi="宋体"/>
                <w:kern w:val="0"/>
                <w:szCs w:val="21"/>
              </w:rPr>
            </w:pPr>
            <w:r>
              <w:rPr>
                <w:rFonts w:ascii="宋体" w:hAnsi="宋体" w:hint="eastAsia"/>
                <w:kern w:val="0"/>
                <w:szCs w:val="21"/>
              </w:rPr>
              <w:t>分子生物学常用技术</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3</w:t>
            </w:r>
          </w:p>
        </w:tc>
        <w:tc>
          <w:tcPr>
            <w:tcW w:w="1841" w:type="dxa"/>
            <w:vAlign w:val="center"/>
          </w:tcPr>
          <w:p w:rsidR="00EF29A4" w:rsidRDefault="00EF29A4">
            <w:pPr>
              <w:widowControl/>
              <w:jc w:val="center"/>
              <w:rPr>
                <w:rFonts w:ascii="宋体" w:hAnsi="宋体" w:cs="宋体"/>
                <w:kern w:val="0"/>
                <w:szCs w:val="21"/>
              </w:rPr>
            </w:pP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71"/>
        </w:trPr>
        <w:tc>
          <w:tcPr>
            <w:tcW w:w="709" w:type="dxa"/>
            <w:noWrap/>
            <w:vAlign w:val="center"/>
          </w:tcPr>
          <w:p w:rsidR="00EF29A4" w:rsidRDefault="00EF29A4">
            <w:pPr>
              <w:widowControl/>
              <w:jc w:val="center"/>
              <w:rPr>
                <w:rFonts w:ascii="宋体" w:hAnsi="宋体" w:cs="宋体"/>
                <w:kern w:val="0"/>
                <w:szCs w:val="21"/>
              </w:rPr>
            </w:pPr>
            <w:r>
              <w:rPr>
                <w:rFonts w:ascii="宋体" w:hAnsi="宋体" w:cs="宋体" w:hint="eastAsia"/>
                <w:kern w:val="0"/>
                <w:szCs w:val="21"/>
              </w:rPr>
              <w:t>1</w:t>
            </w:r>
          </w:p>
        </w:tc>
        <w:tc>
          <w:tcPr>
            <w:tcW w:w="3686" w:type="dxa"/>
            <w:vAlign w:val="center"/>
          </w:tcPr>
          <w:p w:rsidR="00EF29A4" w:rsidRDefault="00EF29A4" w:rsidP="00EE57C4">
            <w:pPr>
              <w:widowControl/>
              <w:jc w:val="center"/>
              <w:rPr>
                <w:rFonts w:ascii="宋体" w:hAnsi="宋体"/>
                <w:kern w:val="0"/>
                <w:szCs w:val="21"/>
              </w:rPr>
            </w:pPr>
            <w:r>
              <w:rPr>
                <w:rFonts w:ascii="宋体" w:hAnsi="宋体" w:hint="eastAsia"/>
                <w:color w:val="333333"/>
                <w:kern w:val="0"/>
                <w:szCs w:val="21"/>
              </w:rPr>
              <w:t>蛋白质的定量测定</w:t>
            </w:r>
          </w:p>
        </w:tc>
        <w:tc>
          <w:tcPr>
            <w:tcW w:w="1842" w:type="dxa"/>
            <w:noWrap/>
            <w:vAlign w:val="center"/>
          </w:tcPr>
          <w:p w:rsidR="00EF29A4" w:rsidRDefault="00EF29A4">
            <w:pPr>
              <w:widowControl/>
              <w:jc w:val="center"/>
              <w:rPr>
                <w:rFonts w:ascii="宋体" w:hAnsi="宋体" w:cs="宋体"/>
                <w:b/>
                <w:color w:val="FF0000"/>
                <w:kern w:val="0"/>
                <w:sz w:val="24"/>
              </w:rPr>
            </w:pPr>
          </w:p>
        </w:tc>
        <w:tc>
          <w:tcPr>
            <w:tcW w:w="1841" w:type="dxa"/>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3</w:t>
            </w: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71"/>
        </w:trPr>
        <w:tc>
          <w:tcPr>
            <w:tcW w:w="709" w:type="dxa"/>
            <w:noWrap/>
            <w:vAlign w:val="center"/>
          </w:tcPr>
          <w:p w:rsidR="00EF29A4" w:rsidRDefault="00EF29A4">
            <w:pPr>
              <w:widowControl/>
              <w:jc w:val="center"/>
              <w:rPr>
                <w:rFonts w:ascii="宋体" w:hAnsi="宋体" w:cs="宋体"/>
                <w:kern w:val="0"/>
                <w:szCs w:val="21"/>
              </w:rPr>
            </w:pPr>
            <w:r>
              <w:rPr>
                <w:rFonts w:ascii="宋体" w:hAnsi="宋体" w:cs="宋体" w:hint="eastAsia"/>
                <w:kern w:val="0"/>
                <w:szCs w:val="21"/>
              </w:rPr>
              <w:t>2</w:t>
            </w:r>
          </w:p>
        </w:tc>
        <w:tc>
          <w:tcPr>
            <w:tcW w:w="3686" w:type="dxa"/>
            <w:vAlign w:val="center"/>
          </w:tcPr>
          <w:p w:rsidR="00EF29A4" w:rsidRDefault="00EF29A4">
            <w:pPr>
              <w:widowControl/>
              <w:jc w:val="center"/>
              <w:rPr>
                <w:rFonts w:ascii="宋体" w:hAnsi="宋体"/>
                <w:color w:val="333333"/>
                <w:kern w:val="0"/>
                <w:szCs w:val="21"/>
              </w:rPr>
            </w:pPr>
            <w:r>
              <w:rPr>
                <w:rFonts w:ascii="宋体" w:hAnsi="宋体" w:hint="eastAsia"/>
                <w:color w:val="333333"/>
                <w:kern w:val="0"/>
                <w:szCs w:val="21"/>
              </w:rPr>
              <w:t>温度、pH、激活剂与抑制剂对酶活性的影响</w:t>
            </w:r>
          </w:p>
        </w:tc>
        <w:tc>
          <w:tcPr>
            <w:tcW w:w="1842" w:type="dxa"/>
            <w:noWrap/>
            <w:vAlign w:val="center"/>
          </w:tcPr>
          <w:p w:rsidR="00EF29A4" w:rsidRDefault="00EF29A4">
            <w:pPr>
              <w:widowControl/>
              <w:jc w:val="center"/>
              <w:rPr>
                <w:rFonts w:ascii="宋体" w:hAnsi="宋体" w:cs="宋体"/>
                <w:b/>
                <w:kern w:val="0"/>
                <w:sz w:val="24"/>
              </w:rPr>
            </w:pPr>
          </w:p>
        </w:tc>
        <w:tc>
          <w:tcPr>
            <w:tcW w:w="1841" w:type="dxa"/>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3</w:t>
            </w:r>
          </w:p>
        </w:tc>
        <w:tc>
          <w:tcPr>
            <w:tcW w:w="3121" w:type="dxa"/>
            <w:noWrap/>
            <w:vAlign w:val="center"/>
          </w:tcPr>
          <w:p w:rsidR="00EF29A4" w:rsidRDefault="00EF29A4">
            <w:pPr>
              <w:widowControl/>
              <w:rPr>
                <w:rFonts w:ascii="宋体" w:hAnsi="宋体" w:cs="宋体"/>
                <w:kern w:val="0"/>
                <w:szCs w:val="21"/>
              </w:rPr>
            </w:pPr>
          </w:p>
        </w:tc>
        <w:bookmarkStart w:id="0" w:name="_GoBack"/>
        <w:bookmarkEnd w:id="0"/>
      </w:tr>
      <w:tr w:rsidR="00EF29A4">
        <w:trPr>
          <w:trHeight w:val="471"/>
        </w:trPr>
        <w:tc>
          <w:tcPr>
            <w:tcW w:w="709" w:type="dxa"/>
            <w:noWrap/>
            <w:vAlign w:val="center"/>
          </w:tcPr>
          <w:p w:rsidR="00EF29A4" w:rsidRDefault="00EF29A4">
            <w:pPr>
              <w:widowControl/>
              <w:jc w:val="center"/>
              <w:rPr>
                <w:rFonts w:ascii="宋体" w:hAnsi="宋体" w:cs="宋体"/>
                <w:kern w:val="0"/>
                <w:szCs w:val="21"/>
              </w:rPr>
            </w:pPr>
            <w:r>
              <w:rPr>
                <w:rFonts w:ascii="宋体" w:hAnsi="宋体" w:cs="宋体" w:hint="eastAsia"/>
                <w:kern w:val="0"/>
                <w:szCs w:val="21"/>
              </w:rPr>
              <w:t>3</w:t>
            </w:r>
          </w:p>
        </w:tc>
        <w:tc>
          <w:tcPr>
            <w:tcW w:w="3686" w:type="dxa"/>
            <w:vAlign w:val="center"/>
          </w:tcPr>
          <w:p w:rsidR="00EF29A4" w:rsidRDefault="00EF29A4" w:rsidP="00EF29A4">
            <w:pPr>
              <w:widowControl/>
              <w:jc w:val="center"/>
              <w:rPr>
                <w:rFonts w:ascii="宋体" w:hAnsi="宋体"/>
                <w:color w:val="333333"/>
                <w:kern w:val="0"/>
                <w:szCs w:val="21"/>
              </w:rPr>
            </w:pPr>
            <w:r>
              <w:rPr>
                <w:rFonts w:ascii="宋体" w:hAnsi="宋体" w:hint="eastAsia"/>
                <w:kern w:val="0"/>
                <w:szCs w:val="21"/>
              </w:rPr>
              <w:t>醋酸纤维素薄膜电泳分离血清蛋白质</w:t>
            </w:r>
          </w:p>
        </w:tc>
        <w:tc>
          <w:tcPr>
            <w:tcW w:w="1842" w:type="dxa"/>
            <w:noWrap/>
            <w:vAlign w:val="center"/>
          </w:tcPr>
          <w:p w:rsidR="00EF29A4" w:rsidRDefault="00EF29A4">
            <w:pPr>
              <w:widowControl/>
              <w:jc w:val="center"/>
              <w:rPr>
                <w:rFonts w:ascii="宋体" w:hAnsi="宋体" w:cs="宋体"/>
                <w:b/>
                <w:kern w:val="0"/>
                <w:sz w:val="24"/>
              </w:rPr>
            </w:pPr>
          </w:p>
        </w:tc>
        <w:tc>
          <w:tcPr>
            <w:tcW w:w="1841" w:type="dxa"/>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3</w:t>
            </w:r>
          </w:p>
        </w:tc>
        <w:tc>
          <w:tcPr>
            <w:tcW w:w="3121" w:type="dxa"/>
            <w:noWrap/>
            <w:vAlign w:val="center"/>
          </w:tcPr>
          <w:p w:rsidR="00EF29A4" w:rsidRDefault="00EF29A4">
            <w:pPr>
              <w:widowControl/>
              <w:jc w:val="center"/>
              <w:rPr>
                <w:rFonts w:ascii="宋体" w:hAnsi="宋体" w:cs="宋体"/>
                <w:kern w:val="0"/>
                <w:szCs w:val="21"/>
              </w:rPr>
            </w:pPr>
          </w:p>
        </w:tc>
      </w:tr>
      <w:tr w:rsidR="00EF29A4">
        <w:trPr>
          <w:trHeight w:val="471"/>
        </w:trPr>
        <w:tc>
          <w:tcPr>
            <w:tcW w:w="709" w:type="dxa"/>
            <w:noWrap/>
            <w:vAlign w:val="center"/>
          </w:tcPr>
          <w:p w:rsidR="00EF29A4" w:rsidRDefault="00EF29A4">
            <w:pPr>
              <w:widowControl/>
              <w:jc w:val="center"/>
              <w:rPr>
                <w:rFonts w:ascii="宋体" w:hAnsi="宋体" w:cs="宋体"/>
                <w:kern w:val="0"/>
                <w:szCs w:val="21"/>
              </w:rPr>
            </w:pPr>
          </w:p>
        </w:tc>
        <w:tc>
          <w:tcPr>
            <w:tcW w:w="3686" w:type="dxa"/>
            <w:vAlign w:val="center"/>
          </w:tcPr>
          <w:p w:rsidR="00EF29A4" w:rsidRDefault="00EF29A4">
            <w:pPr>
              <w:widowControl/>
              <w:jc w:val="center"/>
              <w:rPr>
                <w:rFonts w:ascii="宋体" w:hAnsi="宋体"/>
                <w:b/>
                <w:color w:val="333333"/>
                <w:kern w:val="0"/>
                <w:szCs w:val="21"/>
              </w:rPr>
            </w:pPr>
            <w:r>
              <w:rPr>
                <w:rFonts w:ascii="宋体" w:hAnsi="宋体" w:hint="eastAsia"/>
                <w:b/>
                <w:color w:val="333333"/>
                <w:kern w:val="0"/>
                <w:szCs w:val="21"/>
              </w:rPr>
              <w:t>总计</w:t>
            </w:r>
          </w:p>
        </w:tc>
        <w:tc>
          <w:tcPr>
            <w:tcW w:w="1842"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51</w:t>
            </w:r>
          </w:p>
        </w:tc>
        <w:tc>
          <w:tcPr>
            <w:tcW w:w="1841" w:type="dxa"/>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9</w:t>
            </w:r>
          </w:p>
        </w:tc>
        <w:tc>
          <w:tcPr>
            <w:tcW w:w="3121" w:type="dxa"/>
            <w:noWrap/>
            <w:vAlign w:val="center"/>
          </w:tcPr>
          <w:p w:rsidR="00EF29A4" w:rsidRDefault="00EF29A4">
            <w:pPr>
              <w:widowControl/>
              <w:jc w:val="center"/>
              <w:rPr>
                <w:rFonts w:ascii="宋体" w:hAnsi="宋体" w:cs="宋体"/>
                <w:b/>
                <w:kern w:val="0"/>
                <w:szCs w:val="21"/>
              </w:rPr>
            </w:pPr>
            <w:r>
              <w:rPr>
                <w:rFonts w:ascii="宋体" w:hAnsi="宋体" w:cs="宋体" w:hint="eastAsia"/>
                <w:b/>
                <w:kern w:val="0"/>
                <w:szCs w:val="21"/>
              </w:rPr>
              <w:t>3</w:t>
            </w:r>
          </w:p>
        </w:tc>
      </w:tr>
    </w:tbl>
    <w:p w:rsidR="001279B7" w:rsidRDefault="001279B7">
      <w:pPr>
        <w:spacing w:line="288" w:lineRule="auto"/>
        <w:rPr>
          <w:b/>
        </w:rPr>
      </w:pPr>
    </w:p>
    <w:p w:rsidR="001279B7" w:rsidRDefault="001279B7">
      <w:pPr>
        <w:spacing w:line="288" w:lineRule="auto"/>
        <w:ind w:firstLineChars="200" w:firstLine="422"/>
        <w:rPr>
          <w:b/>
        </w:rPr>
      </w:pPr>
    </w:p>
    <w:p w:rsidR="001279B7" w:rsidRDefault="00D5639B">
      <w:pPr>
        <w:spacing w:line="288" w:lineRule="auto"/>
        <w:rPr>
          <w:b/>
        </w:rPr>
      </w:pPr>
      <w:r>
        <w:rPr>
          <w:rFonts w:hint="eastAsia"/>
          <w:b/>
        </w:rPr>
        <w:t>附表</w:t>
      </w:r>
      <w:r>
        <w:rPr>
          <w:rFonts w:hint="eastAsia"/>
          <w:b/>
        </w:rPr>
        <w:t>2</w:t>
      </w:r>
      <w:r>
        <w:rPr>
          <w:rFonts w:hint="eastAsia"/>
          <w:b/>
        </w:rPr>
        <w:t>：人文和预防知识点融入</w:t>
      </w:r>
    </w:p>
    <w:tbl>
      <w:tblPr>
        <w:tblpPr w:leftFromText="180" w:rightFromText="180" w:vertAnchor="text" w:horzAnchor="margin" w:tblpX="392" w:tblpY="121"/>
        <w:tblOverlap w:val="never"/>
        <w:tblW w:w="1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43"/>
        <w:gridCol w:w="2410"/>
        <w:gridCol w:w="2551"/>
        <w:gridCol w:w="3827"/>
      </w:tblGrid>
      <w:tr w:rsidR="001279B7">
        <w:trPr>
          <w:trHeight w:val="564"/>
        </w:trPr>
        <w:tc>
          <w:tcPr>
            <w:tcW w:w="817" w:type="dxa"/>
            <w:vAlign w:val="center"/>
          </w:tcPr>
          <w:p w:rsidR="001279B7" w:rsidRDefault="00D5639B">
            <w:pPr>
              <w:spacing w:line="288" w:lineRule="auto"/>
              <w:jc w:val="center"/>
              <w:rPr>
                <w:b/>
              </w:rPr>
            </w:pPr>
            <w:r>
              <w:rPr>
                <w:rFonts w:hint="eastAsia"/>
                <w:b/>
              </w:rPr>
              <w:t>序号</w:t>
            </w:r>
          </w:p>
        </w:tc>
        <w:tc>
          <w:tcPr>
            <w:tcW w:w="1843" w:type="dxa"/>
            <w:vAlign w:val="center"/>
          </w:tcPr>
          <w:p w:rsidR="001279B7" w:rsidRDefault="00D5639B">
            <w:pPr>
              <w:spacing w:line="288" w:lineRule="auto"/>
              <w:jc w:val="center"/>
              <w:rPr>
                <w:b/>
              </w:rPr>
            </w:pPr>
            <w:r>
              <w:rPr>
                <w:rFonts w:hint="eastAsia"/>
                <w:b/>
              </w:rPr>
              <w:t>章节或</w:t>
            </w:r>
            <w:r>
              <w:rPr>
                <w:rFonts w:hint="eastAsia"/>
                <w:b/>
              </w:rPr>
              <w:t>PBL</w:t>
            </w:r>
            <w:r>
              <w:rPr>
                <w:rFonts w:hint="eastAsia"/>
                <w:b/>
              </w:rPr>
              <w:t>案例</w:t>
            </w:r>
          </w:p>
        </w:tc>
        <w:tc>
          <w:tcPr>
            <w:tcW w:w="2410" w:type="dxa"/>
            <w:vAlign w:val="center"/>
          </w:tcPr>
          <w:p w:rsidR="001279B7" w:rsidRDefault="00D5639B">
            <w:pPr>
              <w:spacing w:line="288" w:lineRule="auto"/>
              <w:jc w:val="center"/>
              <w:rPr>
                <w:b/>
              </w:rPr>
            </w:pPr>
            <w:r>
              <w:rPr>
                <w:rFonts w:hint="eastAsia"/>
                <w:b/>
              </w:rPr>
              <w:t>专业知识点</w:t>
            </w:r>
          </w:p>
        </w:tc>
        <w:tc>
          <w:tcPr>
            <w:tcW w:w="2551" w:type="dxa"/>
            <w:vAlign w:val="center"/>
          </w:tcPr>
          <w:p w:rsidR="001279B7" w:rsidRDefault="00D5639B">
            <w:pPr>
              <w:spacing w:line="288" w:lineRule="auto"/>
              <w:jc w:val="center"/>
              <w:rPr>
                <w:b/>
              </w:rPr>
            </w:pPr>
            <w:r>
              <w:rPr>
                <w:rFonts w:hint="eastAsia"/>
                <w:b/>
              </w:rPr>
              <w:t>人文知识点</w:t>
            </w:r>
          </w:p>
        </w:tc>
        <w:tc>
          <w:tcPr>
            <w:tcW w:w="3827" w:type="dxa"/>
            <w:vAlign w:val="center"/>
          </w:tcPr>
          <w:p w:rsidR="001279B7" w:rsidRDefault="00D5639B">
            <w:pPr>
              <w:spacing w:line="288" w:lineRule="auto"/>
              <w:jc w:val="center"/>
              <w:rPr>
                <w:b/>
              </w:rPr>
            </w:pPr>
            <w:r>
              <w:rPr>
                <w:rFonts w:hint="eastAsia"/>
                <w:b/>
              </w:rPr>
              <w:t>预防知识点</w:t>
            </w:r>
          </w:p>
        </w:tc>
      </w:tr>
      <w:tr w:rsidR="001279B7">
        <w:trPr>
          <w:trHeight w:val="598"/>
        </w:trPr>
        <w:tc>
          <w:tcPr>
            <w:tcW w:w="817" w:type="dxa"/>
            <w:vAlign w:val="center"/>
          </w:tcPr>
          <w:p w:rsidR="001279B7" w:rsidRDefault="00D5639B">
            <w:pPr>
              <w:spacing w:line="288" w:lineRule="auto"/>
              <w:jc w:val="center"/>
            </w:pPr>
            <w:r>
              <w:rPr>
                <w:rFonts w:hint="eastAsia"/>
              </w:rPr>
              <w:t>1</w:t>
            </w:r>
          </w:p>
        </w:tc>
        <w:tc>
          <w:tcPr>
            <w:tcW w:w="1843" w:type="dxa"/>
            <w:vAlign w:val="center"/>
          </w:tcPr>
          <w:p w:rsidR="001279B7" w:rsidRDefault="00D5639B">
            <w:pPr>
              <w:spacing w:line="288" w:lineRule="auto"/>
              <w:jc w:val="center"/>
            </w:pPr>
            <w:r>
              <w:rPr>
                <w:rFonts w:hint="eastAsia"/>
              </w:rPr>
              <w:t>糖代谢</w:t>
            </w:r>
          </w:p>
        </w:tc>
        <w:tc>
          <w:tcPr>
            <w:tcW w:w="2410" w:type="dxa"/>
            <w:vAlign w:val="center"/>
          </w:tcPr>
          <w:p w:rsidR="001279B7" w:rsidRDefault="00D5639B">
            <w:pPr>
              <w:spacing w:line="288" w:lineRule="auto"/>
              <w:jc w:val="center"/>
            </w:pPr>
            <w:r>
              <w:rPr>
                <w:rFonts w:hint="eastAsia"/>
              </w:rPr>
              <w:t>糖尿病生化机制</w:t>
            </w:r>
          </w:p>
        </w:tc>
        <w:tc>
          <w:tcPr>
            <w:tcW w:w="2551" w:type="dxa"/>
            <w:vAlign w:val="center"/>
          </w:tcPr>
          <w:p w:rsidR="001279B7" w:rsidRDefault="001279B7">
            <w:pPr>
              <w:spacing w:line="288" w:lineRule="auto"/>
              <w:jc w:val="center"/>
            </w:pPr>
          </w:p>
        </w:tc>
        <w:tc>
          <w:tcPr>
            <w:tcW w:w="3827" w:type="dxa"/>
            <w:vAlign w:val="center"/>
          </w:tcPr>
          <w:p w:rsidR="001279B7" w:rsidRDefault="00D5639B">
            <w:pPr>
              <w:spacing w:line="288" w:lineRule="auto"/>
              <w:jc w:val="center"/>
            </w:pPr>
            <w:r>
              <w:rPr>
                <w:rFonts w:hint="eastAsia"/>
              </w:rPr>
              <w:t>如何从代谢的角度预防糖尿病的发生</w:t>
            </w:r>
          </w:p>
        </w:tc>
      </w:tr>
      <w:tr w:rsidR="001279B7">
        <w:trPr>
          <w:trHeight w:val="651"/>
        </w:trPr>
        <w:tc>
          <w:tcPr>
            <w:tcW w:w="817" w:type="dxa"/>
            <w:vAlign w:val="center"/>
          </w:tcPr>
          <w:p w:rsidR="001279B7" w:rsidRDefault="00D5639B">
            <w:pPr>
              <w:spacing w:line="288" w:lineRule="auto"/>
              <w:jc w:val="center"/>
            </w:pPr>
            <w:r>
              <w:rPr>
                <w:rFonts w:hint="eastAsia"/>
              </w:rPr>
              <w:t>2</w:t>
            </w:r>
          </w:p>
        </w:tc>
        <w:tc>
          <w:tcPr>
            <w:tcW w:w="1843" w:type="dxa"/>
            <w:vAlign w:val="center"/>
          </w:tcPr>
          <w:p w:rsidR="001279B7" w:rsidRDefault="00D5639B">
            <w:pPr>
              <w:spacing w:line="288" w:lineRule="auto"/>
              <w:jc w:val="center"/>
            </w:pPr>
            <w:r>
              <w:rPr>
                <w:rFonts w:hint="eastAsia"/>
              </w:rPr>
              <w:t>脂类代谢</w:t>
            </w:r>
          </w:p>
        </w:tc>
        <w:tc>
          <w:tcPr>
            <w:tcW w:w="2410" w:type="dxa"/>
            <w:vAlign w:val="center"/>
          </w:tcPr>
          <w:p w:rsidR="001279B7" w:rsidRDefault="00D5639B">
            <w:pPr>
              <w:spacing w:line="288" w:lineRule="auto"/>
              <w:jc w:val="center"/>
            </w:pPr>
            <w:r>
              <w:rPr>
                <w:rFonts w:hint="eastAsia"/>
              </w:rPr>
              <w:t>高胆固醇血症</w:t>
            </w:r>
          </w:p>
        </w:tc>
        <w:tc>
          <w:tcPr>
            <w:tcW w:w="2551" w:type="dxa"/>
            <w:vAlign w:val="center"/>
          </w:tcPr>
          <w:p w:rsidR="001279B7" w:rsidRDefault="001279B7">
            <w:pPr>
              <w:spacing w:line="288" w:lineRule="auto"/>
              <w:jc w:val="center"/>
            </w:pPr>
          </w:p>
        </w:tc>
        <w:tc>
          <w:tcPr>
            <w:tcW w:w="3827" w:type="dxa"/>
            <w:vAlign w:val="center"/>
          </w:tcPr>
          <w:p w:rsidR="001279B7" w:rsidRDefault="00D5639B">
            <w:pPr>
              <w:spacing w:line="288" w:lineRule="auto"/>
              <w:jc w:val="center"/>
            </w:pPr>
            <w:r>
              <w:rPr>
                <w:rFonts w:hint="eastAsia"/>
              </w:rPr>
              <w:t>治疗原则和策略</w:t>
            </w:r>
          </w:p>
        </w:tc>
      </w:tr>
      <w:tr w:rsidR="001279B7">
        <w:trPr>
          <w:trHeight w:val="546"/>
        </w:trPr>
        <w:tc>
          <w:tcPr>
            <w:tcW w:w="817" w:type="dxa"/>
            <w:vAlign w:val="center"/>
          </w:tcPr>
          <w:p w:rsidR="001279B7" w:rsidRDefault="00D5639B">
            <w:pPr>
              <w:spacing w:line="288" w:lineRule="auto"/>
              <w:jc w:val="center"/>
            </w:pPr>
            <w:r>
              <w:rPr>
                <w:rFonts w:hint="eastAsia"/>
              </w:rPr>
              <w:t>3</w:t>
            </w:r>
          </w:p>
        </w:tc>
        <w:tc>
          <w:tcPr>
            <w:tcW w:w="1843" w:type="dxa"/>
            <w:vAlign w:val="center"/>
          </w:tcPr>
          <w:p w:rsidR="001279B7" w:rsidRDefault="00D5639B">
            <w:pPr>
              <w:spacing w:line="288" w:lineRule="auto"/>
              <w:jc w:val="center"/>
            </w:pPr>
            <w:r>
              <w:rPr>
                <w:rFonts w:hint="eastAsia"/>
                <w:bCs/>
              </w:rPr>
              <w:t>物质代谢的调节与联系</w:t>
            </w:r>
          </w:p>
        </w:tc>
        <w:tc>
          <w:tcPr>
            <w:tcW w:w="2410" w:type="dxa"/>
            <w:vAlign w:val="center"/>
          </w:tcPr>
          <w:p w:rsidR="001279B7" w:rsidRDefault="00D5639B">
            <w:pPr>
              <w:spacing w:line="288" w:lineRule="auto"/>
              <w:jc w:val="center"/>
            </w:pPr>
            <w:r>
              <w:rPr>
                <w:rFonts w:hint="eastAsia"/>
                <w:bCs/>
              </w:rPr>
              <w:t>糖与脂肪代谢相互联系</w:t>
            </w:r>
          </w:p>
        </w:tc>
        <w:tc>
          <w:tcPr>
            <w:tcW w:w="2551" w:type="dxa"/>
            <w:vAlign w:val="center"/>
          </w:tcPr>
          <w:p w:rsidR="001279B7" w:rsidRDefault="001279B7">
            <w:pPr>
              <w:spacing w:line="288" w:lineRule="auto"/>
              <w:jc w:val="center"/>
            </w:pPr>
          </w:p>
        </w:tc>
        <w:tc>
          <w:tcPr>
            <w:tcW w:w="3827" w:type="dxa"/>
            <w:vAlign w:val="center"/>
          </w:tcPr>
          <w:p w:rsidR="001279B7" w:rsidRDefault="00D5639B">
            <w:pPr>
              <w:spacing w:line="288" w:lineRule="auto"/>
              <w:jc w:val="center"/>
            </w:pPr>
            <w:r>
              <w:rPr>
                <w:rFonts w:hint="eastAsia"/>
              </w:rPr>
              <w:t>肥胖形成原因和危害</w:t>
            </w:r>
          </w:p>
        </w:tc>
      </w:tr>
      <w:tr w:rsidR="001279B7">
        <w:trPr>
          <w:trHeight w:val="546"/>
        </w:trPr>
        <w:tc>
          <w:tcPr>
            <w:tcW w:w="817" w:type="dxa"/>
            <w:vAlign w:val="center"/>
          </w:tcPr>
          <w:p w:rsidR="001279B7" w:rsidRDefault="00D5639B">
            <w:pPr>
              <w:spacing w:line="288" w:lineRule="auto"/>
              <w:jc w:val="center"/>
            </w:pPr>
            <w:r>
              <w:rPr>
                <w:rFonts w:hint="eastAsia"/>
              </w:rPr>
              <w:t>4</w:t>
            </w:r>
          </w:p>
        </w:tc>
        <w:tc>
          <w:tcPr>
            <w:tcW w:w="1843" w:type="dxa"/>
            <w:vAlign w:val="center"/>
          </w:tcPr>
          <w:p w:rsidR="001279B7" w:rsidRDefault="00D5639B">
            <w:pPr>
              <w:spacing w:line="288" w:lineRule="auto"/>
              <w:jc w:val="center"/>
            </w:pPr>
            <w:r>
              <w:rPr>
                <w:rFonts w:hint="eastAsia"/>
                <w:bCs/>
              </w:rPr>
              <w:t>基因表达调控</w:t>
            </w:r>
          </w:p>
        </w:tc>
        <w:tc>
          <w:tcPr>
            <w:tcW w:w="2410" w:type="dxa"/>
            <w:vAlign w:val="center"/>
          </w:tcPr>
          <w:p w:rsidR="001279B7" w:rsidRDefault="00D5639B">
            <w:pPr>
              <w:spacing w:line="288" w:lineRule="auto"/>
              <w:jc w:val="center"/>
            </w:pPr>
            <w:r>
              <w:rPr>
                <w:rFonts w:hint="eastAsia"/>
              </w:rPr>
              <w:t>家族遗传性</w:t>
            </w:r>
            <w:r>
              <w:rPr>
                <w:rFonts w:hint="eastAsia"/>
              </w:rPr>
              <w:t>BRCA1</w:t>
            </w:r>
            <w:r>
              <w:rPr>
                <w:rFonts w:hint="eastAsia"/>
              </w:rPr>
              <w:t>基因突变</w:t>
            </w:r>
          </w:p>
        </w:tc>
        <w:tc>
          <w:tcPr>
            <w:tcW w:w="2551" w:type="dxa"/>
            <w:vAlign w:val="center"/>
          </w:tcPr>
          <w:p w:rsidR="001279B7" w:rsidRDefault="001279B7">
            <w:pPr>
              <w:spacing w:line="288" w:lineRule="auto"/>
              <w:jc w:val="center"/>
            </w:pPr>
          </w:p>
        </w:tc>
        <w:tc>
          <w:tcPr>
            <w:tcW w:w="3827" w:type="dxa"/>
            <w:vAlign w:val="center"/>
          </w:tcPr>
          <w:p w:rsidR="001279B7" w:rsidRDefault="00D5639B">
            <w:pPr>
              <w:spacing w:line="288" w:lineRule="auto"/>
              <w:jc w:val="center"/>
            </w:pPr>
            <w:r>
              <w:rPr>
                <w:rFonts w:hint="eastAsia"/>
              </w:rPr>
              <w:t>预防性乳腺切除降低罹患癌风险</w:t>
            </w:r>
          </w:p>
        </w:tc>
      </w:tr>
      <w:tr w:rsidR="001279B7">
        <w:trPr>
          <w:trHeight w:val="546"/>
        </w:trPr>
        <w:tc>
          <w:tcPr>
            <w:tcW w:w="817" w:type="dxa"/>
            <w:vAlign w:val="center"/>
          </w:tcPr>
          <w:p w:rsidR="001279B7" w:rsidRDefault="00D5639B">
            <w:pPr>
              <w:spacing w:line="288" w:lineRule="auto"/>
              <w:jc w:val="center"/>
            </w:pPr>
            <w:r>
              <w:rPr>
                <w:rFonts w:hint="eastAsia"/>
              </w:rPr>
              <w:t>5</w:t>
            </w:r>
          </w:p>
        </w:tc>
        <w:tc>
          <w:tcPr>
            <w:tcW w:w="1843" w:type="dxa"/>
            <w:vAlign w:val="center"/>
          </w:tcPr>
          <w:p w:rsidR="001279B7" w:rsidRDefault="00D5639B">
            <w:pPr>
              <w:spacing w:line="288" w:lineRule="auto"/>
              <w:jc w:val="center"/>
              <w:rPr>
                <w:bCs/>
              </w:rPr>
            </w:pPr>
            <w:r>
              <w:rPr>
                <w:rFonts w:hint="eastAsia"/>
                <w:bCs/>
              </w:rPr>
              <w:t>基因结构与功能分析</w:t>
            </w:r>
          </w:p>
        </w:tc>
        <w:tc>
          <w:tcPr>
            <w:tcW w:w="2410" w:type="dxa"/>
            <w:vAlign w:val="center"/>
          </w:tcPr>
          <w:p w:rsidR="001279B7" w:rsidRDefault="00D5639B">
            <w:pPr>
              <w:spacing w:line="288" w:lineRule="auto"/>
              <w:jc w:val="center"/>
            </w:pPr>
            <w:r>
              <w:rPr>
                <w:rFonts w:hint="eastAsia"/>
                <w:bCs/>
              </w:rPr>
              <w:t>基因和基因组的概念</w:t>
            </w:r>
          </w:p>
        </w:tc>
        <w:tc>
          <w:tcPr>
            <w:tcW w:w="2551" w:type="dxa"/>
            <w:vAlign w:val="center"/>
          </w:tcPr>
          <w:p w:rsidR="001279B7" w:rsidRDefault="00D5639B">
            <w:pPr>
              <w:spacing w:line="288" w:lineRule="auto"/>
              <w:jc w:val="center"/>
            </w:pPr>
            <w:r>
              <w:rPr>
                <w:rFonts w:hint="eastAsia"/>
              </w:rPr>
              <w:t>我国科学家为</w:t>
            </w:r>
            <w:r>
              <w:rPr>
                <w:rFonts w:hint="eastAsia"/>
                <w:bCs/>
              </w:rPr>
              <w:t>人类基因组计划</w:t>
            </w:r>
            <w:r>
              <w:rPr>
                <w:rFonts w:hint="eastAsia"/>
              </w:rPr>
              <w:t>HGP</w:t>
            </w:r>
            <w:r>
              <w:rPr>
                <w:rFonts w:hint="eastAsia"/>
              </w:rPr>
              <w:t>做出的贡献，激发学生的爱国热情以及投身科学研究的奉献精神</w:t>
            </w:r>
          </w:p>
        </w:tc>
        <w:tc>
          <w:tcPr>
            <w:tcW w:w="3827" w:type="dxa"/>
            <w:vAlign w:val="center"/>
          </w:tcPr>
          <w:p w:rsidR="001279B7" w:rsidRDefault="001279B7">
            <w:pPr>
              <w:spacing w:line="288" w:lineRule="auto"/>
              <w:jc w:val="center"/>
            </w:pPr>
          </w:p>
        </w:tc>
      </w:tr>
    </w:tbl>
    <w:p w:rsidR="001279B7" w:rsidRDefault="001279B7">
      <w:pPr>
        <w:spacing w:line="288" w:lineRule="auto"/>
        <w:rPr>
          <w:b/>
        </w:rPr>
      </w:pPr>
    </w:p>
    <w:sectPr w:rsidR="001279B7">
      <w:pgSz w:w="16838" w:h="11906" w:orient="landscape"/>
      <w:pgMar w:top="1440" w:right="1077" w:bottom="1440" w:left="1077" w:header="851" w:footer="992" w:gutter="0"/>
      <w:cols w:space="720"/>
      <w:docGrid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049" w:rsidRDefault="00001049">
      <w:r>
        <w:separator/>
      </w:r>
    </w:p>
  </w:endnote>
  <w:endnote w:type="continuationSeparator" w:id="0">
    <w:p w:rsidR="00001049" w:rsidRDefault="0000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9B7" w:rsidRDefault="00D5639B">
    <w:pPr>
      <w:pStyle w:val="a8"/>
      <w:jc w:val="center"/>
    </w:pPr>
    <w:r>
      <w:fldChar w:fldCharType="begin"/>
    </w:r>
    <w:r>
      <w:instrText xml:space="preserve"> PAGE   \* MERGEFORMAT </w:instrText>
    </w:r>
    <w:r>
      <w:fldChar w:fldCharType="separate"/>
    </w:r>
    <w:r w:rsidR="00EF29A4" w:rsidRPr="00EF29A4">
      <w:rPr>
        <w:noProof/>
        <w:lang w:val="zh-CN"/>
      </w:rPr>
      <w:t>5</w:t>
    </w:r>
    <w:r>
      <w:fldChar w:fldCharType="end"/>
    </w:r>
  </w:p>
  <w:p w:rsidR="001279B7" w:rsidRDefault="001279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049" w:rsidRDefault="00001049">
      <w:r>
        <w:separator/>
      </w:r>
    </w:p>
  </w:footnote>
  <w:footnote w:type="continuationSeparator" w:id="0">
    <w:p w:rsidR="00001049" w:rsidRDefault="00001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9B7" w:rsidRDefault="001279B7">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EzYzc2NTAwN2U4MTU1MDM1ZmQwOGY2MWE5ZWQxYWIifQ=="/>
  </w:docVars>
  <w:rsids>
    <w:rsidRoot w:val="00087859"/>
    <w:rsid w:val="00001049"/>
    <w:rsid w:val="00002491"/>
    <w:rsid w:val="00002E86"/>
    <w:rsid w:val="00014877"/>
    <w:rsid w:val="00035413"/>
    <w:rsid w:val="00037CF9"/>
    <w:rsid w:val="0004344D"/>
    <w:rsid w:val="00056D8A"/>
    <w:rsid w:val="00061450"/>
    <w:rsid w:val="0006212A"/>
    <w:rsid w:val="000646B7"/>
    <w:rsid w:val="000657C0"/>
    <w:rsid w:val="000659C7"/>
    <w:rsid w:val="00077AFA"/>
    <w:rsid w:val="00086FB6"/>
    <w:rsid w:val="000877E6"/>
    <w:rsid w:val="00087859"/>
    <w:rsid w:val="00090B51"/>
    <w:rsid w:val="00090EC0"/>
    <w:rsid w:val="00092837"/>
    <w:rsid w:val="00095A99"/>
    <w:rsid w:val="000B45D8"/>
    <w:rsid w:val="000C3614"/>
    <w:rsid w:val="000E36F3"/>
    <w:rsid w:val="000E47BB"/>
    <w:rsid w:val="000F1282"/>
    <w:rsid w:val="000F4F62"/>
    <w:rsid w:val="001014D7"/>
    <w:rsid w:val="00117BE9"/>
    <w:rsid w:val="00126938"/>
    <w:rsid w:val="001279B7"/>
    <w:rsid w:val="001331B0"/>
    <w:rsid w:val="0015134F"/>
    <w:rsid w:val="00156AF2"/>
    <w:rsid w:val="00156B47"/>
    <w:rsid w:val="00157D89"/>
    <w:rsid w:val="00165DC1"/>
    <w:rsid w:val="00167D41"/>
    <w:rsid w:val="00174A84"/>
    <w:rsid w:val="00193328"/>
    <w:rsid w:val="00193ECB"/>
    <w:rsid w:val="001955A8"/>
    <w:rsid w:val="00197B08"/>
    <w:rsid w:val="001A2E90"/>
    <w:rsid w:val="001B00BA"/>
    <w:rsid w:val="001B1ED6"/>
    <w:rsid w:val="001B28CD"/>
    <w:rsid w:val="001C2861"/>
    <w:rsid w:val="001D2A07"/>
    <w:rsid w:val="001D5871"/>
    <w:rsid w:val="001E6BB0"/>
    <w:rsid w:val="001F2A40"/>
    <w:rsid w:val="00213AAE"/>
    <w:rsid w:val="002148A3"/>
    <w:rsid w:val="002158C5"/>
    <w:rsid w:val="002163EE"/>
    <w:rsid w:val="00217755"/>
    <w:rsid w:val="00217C72"/>
    <w:rsid w:val="002233F3"/>
    <w:rsid w:val="00235197"/>
    <w:rsid w:val="00237AD9"/>
    <w:rsid w:val="00242C7E"/>
    <w:rsid w:val="002516E9"/>
    <w:rsid w:val="00254481"/>
    <w:rsid w:val="00254FBC"/>
    <w:rsid w:val="00260860"/>
    <w:rsid w:val="002642F0"/>
    <w:rsid w:val="00265893"/>
    <w:rsid w:val="00265EA5"/>
    <w:rsid w:val="00267903"/>
    <w:rsid w:val="0028506C"/>
    <w:rsid w:val="00285B94"/>
    <w:rsid w:val="00285E44"/>
    <w:rsid w:val="0029259C"/>
    <w:rsid w:val="00294DF0"/>
    <w:rsid w:val="002A09D0"/>
    <w:rsid w:val="002A6422"/>
    <w:rsid w:val="002C188D"/>
    <w:rsid w:val="002C4AA6"/>
    <w:rsid w:val="002D6C0A"/>
    <w:rsid w:val="002E5C8D"/>
    <w:rsid w:val="002F0F76"/>
    <w:rsid w:val="002F121D"/>
    <w:rsid w:val="00325281"/>
    <w:rsid w:val="00332375"/>
    <w:rsid w:val="00332F98"/>
    <w:rsid w:val="003431FF"/>
    <w:rsid w:val="0034479E"/>
    <w:rsid w:val="003554BA"/>
    <w:rsid w:val="00355E6C"/>
    <w:rsid w:val="00363442"/>
    <w:rsid w:val="0036513C"/>
    <w:rsid w:val="00375288"/>
    <w:rsid w:val="00383715"/>
    <w:rsid w:val="003870E9"/>
    <w:rsid w:val="003A07B5"/>
    <w:rsid w:val="003A2FD8"/>
    <w:rsid w:val="003A39C6"/>
    <w:rsid w:val="003A4128"/>
    <w:rsid w:val="003B7967"/>
    <w:rsid w:val="003D5EBF"/>
    <w:rsid w:val="003E1020"/>
    <w:rsid w:val="003E18D0"/>
    <w:rsid w:val="003E33F7"/>
    <w:rsid w:val="003E41E9"/>
    <w:rsid w:val="003E64C5"/>
    <w:rsid w:val="003E77AE"/>
    <w:rsid w:val="003F5C70"/>
    <w:rsid w:val="004112E9"/>
    <w:rsid w:val="00425233"/>
    <w:rsid w:val="00435392"/>
    <w:rsid w:val="00436E23"/>
    <w:rsid w:val="00440ECB"/>
    <w:rsid w:val="00444659"/>
    <w:rsid w:val="00445625"/>
    <w:rsid w:val="004476F7"/>
    <w:rsid w:val="00447B8B"/>
    <w:rsid w:val="0046329B"/>
    <w:rsid w:val="00471DFF"/>
    <w:rsid w:val="00473B54"/>
    <w:rsid w:val="004747EF"/>
    <w:rsid w:val="004914F6"/>
    <w:rsid w:val="00491FC1"/>
    <w:rsid w:val="004A4117"/>
    <w:rsid w:val="004A51ED"/>
    <w:rsid w:val="004B3079"/>
    <w:rsid w:val="004B58E4"/>
    <w:rsid w:val="004B627A"/>
    <w:rsid w:val="004C391F"/>
    <w:rsid w:val="004C4504"/>
    <w:rsid w:val="004C5F64"/>
    <w:rsid w:val="004C6746"/>
    <w:rsid w:val="004D09FC"/>
    <w:rsid w:val="004E1B24"/>
    <w:rsid w:val="004F35C2"/>
    <w:rsid w:val="004F5381"/>
    <w:rsid w:val="004F5490"/>
    <w:rsid w:val="004F75D3"/>
    <w:rsid w:val="005024B4"/>
    <w:rsid w:val="005033ED"/>
    <w:rsid w:val="005120C9"/>
    <w:rsid w:val="00512B58"/>
    <w:rsid w:val="00520DB7"/>
    <w:rsid w:val="0053030E"/>
    <w:rsid w:val="00536E3D"/>
    <w:rsid w:val="00542639"/>
    <w:rsid w:val="005438AF"/>
    <w:rsid w:val="00563EF3"/>
    <w:rsid w:val="00576333"/>
    <w:rsid w:val="0058274E"/>
    <w:rsid w:val="00584D33"/>
    <w:rsid w:val="0058632D"/>
    <w:rsid w:val="0059603A"/>
    <w:rsid w:val="005A0DF2"/>
    <w:rsid w:val="005A225F"/>
    <w:rsid w:val="005A71EE"/>
    <w:rsid w:val="005A75BE"/>
    <w:rsid w:val="005B60AB"/>
    <w:rsid w:val="005C3F48"/>
    <w:rsid w:val="005C5D49"/>
    <w:rsid w:val="005C7433"/>
    <w:rsid w:val="005D05AE"/>
    <w:rsid w:val="005D34C1"/>
    <w:rsid w:val="005D692F"/>
    <w:rsid w:val="005E0383"/>
    <w:rsid w:val="005E2F59"/>
    <w:rsid w:val="005E3B6C"/>
    <w:rsid w:val="005E5DD1"/>
    <w:rsid w:val="005F13DA"/>
    <w:rsid w:val="005F156C"/>
    <w:rsid w:val="005F4F91"/>
    <w:rsid w:val="00601F43"/>
    <w:rsid w:val="006060DE"/>
    <w:rsid w:val="00611159"/>
    <w:rsid w:val="00612ABF"/>
    <w:rsid w:val="006131A1"/>
    <w:rsid w:val="0061482B"/>
    <w:rsid w:val="00622714"/>
    <w:rsid w:val="00623AB3"/>
    <w:rsid w:val="00624A74"/>
    <w:rsid w:val="0062572C"/>
    <w:rsid w:val="00630381"/>
    <w:rsid w:val="00640461"/>
    <w:rsid w:val="00645C82"/>
    <w:rsid w:val="00650C99"/>
    <w:rsid w:val="006520FF"/>
    <w:rsid w:val="006569B2"/>
    <w:rsid w:val="006576CC"/>
    <w:rsid w:val="00663208"/>
    <w:rsid w:val="006670AA"/>
    <w:rsid w:val="00670766"/>
    <w:rsid w:val="00683D28"/>
    <w:rsid w:val="00693C92"/>
    <w:rsid w:val="0069526C"/>
    <w:rsid w:val="006A4BD9"/>
    <w:rsid w:val="006B0442"/>
    <w:rsid w:val="006B103F"/>
    <w:rsid w:val="006B47BA"/>
    <w:rsid w:val="006B5CC0"/>
    <w:rsid w:val="006C668F"/>
    <w:rsid w:val="006D6122"/>
    <w:rsid w:val="006F34A6"/>
    <w:rsid w:val="006F37CC"/>
    <w:rsid w:val="006F48B4"/>
    <w:rsid w:val="006F73A9"/>
    <w:rsid w:val="0071485D"/>
    <w:rsid w:val="00726009"/>
    <w:rsid w:val="00731E06"/>
    <w:rsid w:val="007463E4"/>
    <w:rsid w:val="00757BC3"/>
    <w:rsid w:val="007676B5"/>
    <w:rsid w:val="00767E8C"/>
    <w:rsid w:val="007830A5"/>
    <w:rsid w:val="00784F8C"/>
    <w:rsid w:val="007906A2"/>
    <w:rsid w:val="00792A25"/>
    <w:rsid w:val="00794933"/>
    <w:rsid w:val="00795E40"/>
    <w:rsid w:val="007978DB"/>
    <w:rsid w:val="00797A1D"/>
    <w:rsid w:val="007B2294"/>
    <w:rsid w:val="007C07FC"/>
    <w:rsid w:val="007C7D5D"/>
    <w:rsid w:val="007D371C"/>
    <w:rsid w:val="007D7961"/>
    <w:rsid w:val="007E0062"/>
    <w:rsid w:val="007E28CB"/>
    <w:rsid w:val="007E5DC9"/>
    <w:rsid w:val="007E70F1"/>
    <w:rsid w:val="007F0B78"/>
    <w:rsid w:val="007F28DF"/>
    <w:rsid w:val="007F7283"/>
    <w:rsid w:val="00801825"/>
    <w:rsid w:val="00804F11"/>
    <w:rsid w:val="00805D23"/>
    <w:rsid w:val="00806A6A"/>
    <w:rsid w:val="00824246"/>
    <w:rsid w:val="00826DEA"/>
    <w:rsid w:val="00831176"/>
    <w:rsid w:val="00834211"/>
    <w:rsid w:val="008413B9"/>
    <w:rsid w:val="00843C85"/>
    <w:rsid w:val="00843E2A"/>
    <w:rsid w:val="00845034"/>
    <w:rsid w:val="00856629"/>
    <w:rsid w:val="008567AA"/>
    <w:rsid w:val="00863FEA"/>
    <w:rsid w:val="008672BF"/>
    <w:rsid w:val="00867541"/>
    <w:rsid w:val="0087318B"/>
    <w:rsid w:val="00877610"/>
    <w:rsid w:val="00882366"/>
    <w:rsid w:val="0088305C"/>
    <w:rsid w:val="00885695"/>
    <w:rsid w:val="00893B51"/>
    <w:rsid w:val="008B1E83"/>
    <w:rsid w:val="008B5056"/>
    <w:rsid w:val="008B6A2A"/>
    <w:rsid w:val="008E66F2"/>
    <w:rsid w:val="008F7E39"/>
    <w:rsid w:val="00900ADB"/>
    <w:rsid w:val="00901024"/>
    <w:rsid w:val="0090297B"/>
    <w:rsid w:val="00912FA7"/>
    <w:rsid w:val="00933367"/>
    <w:rsid w:val="00933452"/>
    <w:rsid w:val="00936C8E"/>
    <w:rsid w:val="00937D59"/>
    <w:rsid w:val="00937DB7"/>
    <w:rsid w:val="00940325"/>
    <w:rsid w:val="0095114B"/>
    <w:rsid w:val="00952266"/>
    <w:rsid w:val="00957DB2"/>
    <w:rsid w:val="00964041"/>
    <w:rsid w:val="00965637"/>
    <w:rsid w:val="009764D4"/>
    <w:rsid w:val="009867EF"/>
    <w:rsid w:val="009926EA"/>
    <w:rsid w:val="009B1D38"/>
    <w:rsid w:val="009B58C2"/>
    <w:rsid w:val="009C0F11"/>
    <w:rsid w:val="009C1D8F"/>
    <w:rsid w:val="009C5C0B"/>
    <w:rsid w:val="009C6788"/>
    <w:rsid w:val="009D18EC"/>
    <w:rsid w:val="009D3177"/>
    <w:rsid w:val="009F3F44"/>
    <w:rsid w:val="009F5614"/>
    <w:rsid w:val="00A0102E"/>
    <w:rsid w:val="00A01E5C"/>
    <w:rsid w:val="00A04AFF"/>
    <w:rsid w:val="00A16917"/>
    <w:rsid w:val="00A2117F"/>
    <w:rsid w:val="00A41F29"/>
    <w:rsid w:val="00A422E5"/>
    <w:rsid w:val="00A4705D"/>
    <w:rsid w:val="00A50A15"/>
    <w:rsid w:val="00A51251"/>
    <w:rsid w:val="00A53340"/>
    <w:rsid w:val="00A57748"/>
    <w:rsid w:val="00A60D78"/>
    <w:rsid w:val="00A62480"/>
    <w:rsid w:val="00A65E70"/>
    <w:rsid w:val="00A709F6"/>
    <w:rsid w:val="00A760EB"/>
    <w:rsid w:val="00A76D4A"/>
    <w:rsid w:val="00A850DE"/>
    <w:rsid w:val="00A91A6D"/>
    <w:rsid w:val="00A939E3"/>
    <w:rsid w:val="00AB15A7"/>
    <w:rsid w:val="00AB7726"/>
    <w:rsid w:val="00AC729C"/>
    <w:rsid w:val="00AD381D"/>
    <w:rsid w:val="00AD51C3"/>
    <w:rsid w:val="00AF0E18"/>
    <w:rsid w:val="00AF6827"/>
    <w:rsid w:val="00B07CFA"/>
    <w:rsid w:val="00B101BA"/>
    <w:rsid w:val="00B11D4A"/>
    <w:rsid w:val="00B21940"/>
    <w:rsid w:val="00B3281D"/>
    <w:rsid w:val="00B33DBA"/>
    <w:rsid w:val="00B34536"/>
    <w:rsid w:val="00B46ED6"/>
    <w:rsid w:val="00B6294A"/>
    <w:rsid w:val="00B665A8"/>
    <w:rsid w:val="00B756A6"/>
    <w:rsid w:val="00B84B6C"/>
    <w:rsid w:val="00B90719"/>
    <w:rsid w:val="00B963D3"/>
    <w:rsid w:val="00B9762C"/>
    <w:rsid w:val="00B97A9F"/>
    <w:rsid w:val="00BA22AE"/>
    <w:rsid w:val="00BB1E35"/>
    <w:rsid w:val="00BB46D1"/>
    <w:rsid w:val="00BC08AD"/>
    <w:rsid w:val="00BC1EED"/>
    <w:rsid w:val="00BC4A7A"/>
    <w:rsid w:val="00BC6525"/>
    <w:rsid w:val="00BE46F2"/>
    <w:rsid w:val="00BF0EC4"/>
    <w:rsid w:val="00BF1017"/>
    <w:rsid w:val="00BF38E3"/>
    <w:rsid w:val="00BF45A0"/>
    <w:rsid w:val="00C0082B"/>
    <w:rsid w:val="00C0268B"/>
    <w:rsid w:val="00C05E54"/>
    <w:rsid w:val="00C151B0"/>
    <w:rsid w:val="00C17E1B"/>
    <w:rsid w:val="00C203A8"/>
    <w:rsid w:val="00C221A1"/>
    <w:rsid w:val="00C23A31"/>
    <w:rsid w:val="00C2480C"/>
    <w:rsid w:val="00C3487B"/>
    <w:rsid w:val="00C45F4A"/>
    <w:rsid w:val="00C64667"/>
    <w:rsid w:val="00C64F54"/>
    <w:rsid w:val="00C74C38"/>
    <w:rsid w:val="00C7525B"/>
    <w:rsid w:val="00C848CB"/>
    <w:rsid w:val="00C86EA6"/>
    <w:rsid w:val="00C94BAB"/>
    <w:rsid w:val="00C97C68"/>
    <w:rsid w:val="00CA2651"/>
    <w:rsid w:val="00CC14DB"/>
    <w:rsid w:val="00CD2097"/>
    <w:rsid w:val="00CD4ED0"/>
    <w:rsid w:val="00CF6544"/>
    <w:rsid w:val="00CF6FCB"/>
    <w:rsid w:val="00D0603E"/>
    <w:rsid w:val="00D06854"/>
    <w:rsid w:val="00D16628"/>
    <w:rsid w:val="00D24458"/>
    <w:rsid w:val="00D26A95"/>
    <w:rsid w:val="00D3198B"/>
    <w:rsid w:val="00D32E55"/>
    <w:rsid w:val="00D40841"/>
    <w:rsid w:val="00D511B1"/>
    <w:rsid w:val="00D52D35"/>
    <w:rsid w:val="00D54BF2"/>
    <w:rsid w:val="00D5635B"/>
    <w:rsid w:val="00D5639B"/>
    <w:rsid w:val="00D56F6E"/>
    <w:rsid w:val="00D62903"/>
    <w:rsid w:val="00D723A9"/>
    <w:rsid w:val="00D83027"/>
    <w:rsid w:val="00D847E3"/>
    <w:rsid w:val="00D8642E"/>
    <w:rsid w:val="00D868D1"/>
    <w:rsid w:val="00D877B1"/>
    <w:rsid w:val="00D87AC0"/>
    <w:rsid w:val="00D87BDD"/>
    <w:rsid w:val="00D90B9D"/>
    <w:rsid w:val="00DA1005"/>
    <w:rsid w:val="00DA2A87"/>
    <w:rsid w:val="00DA4FD0"/>
    <w:rsid w:val="00DB12B5"/>
    <w:rsid w:val="00DB388F"/>
    <w:rsid w:val="00DC23C1"/>
    <w:rsid w:val="00DD6789"/>
    <w:rsid w:val="00DD76B4"/>
    <w:rsid w:val="00DE4BFF"/>
    <w:rsid w:val="00E00CF7"/>
    <w:rsid w:val="00E05F65"/>
    <w:rsid w:val="00E10BD8"/>
    <w:rsid w:val="00E10DF6"/>
    <w:rsid w:val="00E1744F"/>
    <w:rsid w:val="00E216A6"/>
    <w:rsid w:val="00E27D68"/>
    <w:rsid w:val="00E42132"/>
    <w:rsid w:val="00E464B0"/>
    <w:rsid w:val="00E5280E"/>
    <w:rsid w:val="00E52FB6"/>
    <w:rsid w:val="00E62913"/>
    <w:rsid w:val="00E74A08"/>
    <w:rsid w:val="00E76150"/>
    <w:rsid w:val="00E77544"/>
    <w:rsid w:val="00E7757C"/>
    <w:rsid w:val="00E81FCC"/>
    <w:rsid w:val="00E8211A"/>
    <w:rsid w:val="00E83259"/>
    <w:rsid w:val="00E97F68"/>
    <w:rsid w:val="00EA7A18"/>
    <w:rsid w:val="00EB0E64"/>
    <w:rsid w:val="00EB43FC"/>
    <w:rsid w:val="00EB53A3"/>
    <w:rsid w:val="00EB5757"/>
    <w:rsid w:val="00EB6E33"/>
    <w:rsid w:val="00EB7F3F"/>
    <w:rsid w:val="00EC507F"/>
    <w:rsid w:val="00EC5B75"/>
    <w:rsid w:val="00ED735E"/>
    <w:rsid w:val="00EE237F"/>
    <w:rsid w:val="00EE26D2"/>
    <w:rsid w:val="00EE3307"/>
    <w:rsid w:val="00EE3358"/>
    <w:rsid w:val="00EE57C4"/>
    <w:rsid w:val="00EF29A4"/>
    <w:rsid w:val="00F010A0"/>
    <w:rsid w:val="00F01A6A"/>
    <w:rsid w:val="00F073AF"/>
    <w:rsid w:val="00F10191"/>
    <w:rsid w:val="00F10622"/>
    <w:rsid w:val="00F23393"/>
    <w:rsid w:val="00F235AF"/>
    <w:rsid w:val="00F300FD"/>
    <w:rsid w:val="00F37F25"/>
    <w:rsid w:val="00F43BB3"/>
    <w:rsid w:val="00F55099"/>
    <w:rsid w:val="00F62791"/>
    <w:rsid w:val="00F74587"/>
    <w:rsid w:val="00F82403"/>
    <w:rsid w:val="00F905FF"/>
    <w:rsid w:val="00F911E4"/>
    <w:rsid w:val="00F91EEE"/>
    <w:rsid w:val="00FA163A"/>
    <w:rsid w:val="00FA1B0D"/>
    <w:rsid w:val="00FA5348"/>
    <w:rsid w:val="00FC0F2C"/>
    <w:rsid w:val="00FC1B80"/>
    <w:rsid w:val="00FD5A87"/>
    <w:rsid w:val="00FE35CF"/>
    <w:rsid w:val="00FE72B6"/>
    <w:rsid w:val="00FE7F3C"/>
    <w:rsid w:val="00FF00C4"/>
    <w:rsid w:val="00FF18C4"/>
    <w:rsid w:val="1B5F008C"/>
    <w:rsid w:val="261C597B"/>
    <w:rsid w:val="53990737"/>
    <w:rsid w:val="69FD2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ody Text Indent"/>
    <w:basedOn w:val="a"/>
    <w:pPr>
      <w:ind w:firstLineChars="200" w:firstLine="456"/>
    </w:pPr>
    <w:rPr>
      <w:rFonts w:ascii="宋体" w:hAnsi="宋体"/>
    </w:rPr>
  </w:style>
  <w:style w:type="paragraph" w:styleId="a5">
    <w:name w:val="Plain Text"/>
    <w:basedOn w:val="a"/>
    <w:link w:val="Char"/>
    <w:rPr>
      <w:rFonts w:ascii="宋体" w:hAnsi="Courier New"/>
      <w:szCs w:val="20"/>
    </w:rPr>
  </w:style>
  <w:style w:type="paragraph" w:styleId="a6">
    <w:name w:val="Date"/>
    <w:basedOn w:val="a"/>
    <w:next w:val="a"/>
    <w:pPr>
      <w:ind w:leftChars="2500" w:left="100"/>
    </w:pPr>
  </w:style>
  <w:style w:type="paragraph" w:styleId="a7">
    <w:name w:val="Balloon Text"/>
    <w:basedOn w:val="a"/>
    <w:link w:val="Char0"/>
    <w:rPr>
      <w:sz w:val="18"/>
      <w:szCs w:val="18"/>
    </w:rPr>
  </w:style>
  <w:style w:type="paragraph" w:styleId="a8">
    <w:name w:val="footer"/>
    <w:basedOn w:val="a"/>
    <w:link w:val="Char1"/>
    <w:uiPriority w:val="99"/>
    <w:pPr>
      <w:tabs>
        <w:tab w:val="center" w:pos="4153"/>
        <w:tab w:val="right" w:pos="8306"/>
      </w:tabs>
      <w:snapToGrid w:val="0"/>
      <w:jc w:val="left"/>
    </w:pPr>
    <w:rPr>
      <w:sz w:val="18"/>
      <w:szCs w:val="18"/>
    </w:rPr>
  </w:style>
  <w:style w:type="paragraph" w:styleId="a9">
    <w:name w:val="header"/>
    <w:basedOn w:val="a"/>
    <w:link w:val="Char2"/>
    <w:pPr>
      <w:pBdr>
        <w:bottom w:val="single" w:sz="6" w:space="1" w:color="auto"/>
      </w:pBdr>
      <w:tabs>
        <w:tab w:val="center" w:pos="4153"/>
        <w:tab w:val="right" w:pos="8306"/>
      </w:tabs>
      <w:snapToGrid w:val="0"/>
      <w:jc w:val="center"/>
    </w:pPr>
    <w:rPr>
      <w:sz w:val="18"/>
      <w:szCs w:val="18"/>
    </w:rPr>
  </w:style>
  <w:style w:type="paragraph" w:styleId="aa">
    <w:name w:val="Normal (Web)"/>
    <w:basedOn w:val="a"/>
    <w:pPr>
      <w:widowControl/>
      <w:jc w:val="left"/>
    </w:pPr>
    <w:rPr>
      <w:rFonts w:ascii="宋体" w:hAnsi="宋体" w:cs="宋体"/>
      <w:kern w:val="0"/>
      <w:sz w:val="24"/>
    </w:rPr>
  </w:style>
  <w:style w:type="character" w:styleId="ab">
    <w:name w:val="page number"/>
    <w:basedOn w:val="a0"/>
  </w:style>
  <w:style w:type="character" w:styleId="ac">
    <w:name w:val="Hyperlink"/>
    <w:rPr>
      <w:color w:val="0563C1"/>
      <w:u w:val="single"/>
    </w:rPr>
  </w:style>
  <w:style w:type="character" w:customStyle="1" w:styleId="Char">
    <w:name w:val="纯文本 Char"/>
    <w:link w:val="a5"/>
    <w:rPr>
      <w:rFonts w:ascii="宋体" w:eastAsia="宋体" w:hAnsi="Courier New"/>
      <w:kern w:val="2"/>
      <w:sz w:val="21"/>
      <w:lang w:val="en-US" w:eastAsia="zh-CN" w:bidi="ar-SA"/>
    </w:rPr>
  </w:style>
  <w:style w:type="character" w:customStyle="1" w:styleId="Char0">
    <w:name w:val="批注框文本 Char"/>
    <w:link w:val="a7"/>
    <w:rPr>
      <w:kern w:val="2"/>
      <w:sz w:val="18"/>
      <w:szCs w:val="18"/>
    </w:rPr>
  </w:style>
  <w:style w:type="character" w:customStyle="1" w:styleId="Char1">
    <w:name w:val="页脚 Char"/>
    <w:link w:val="a8"/>
    <w:uiPriority w:val="99"/>
    <w:rPr>
      <w:kern w:val="2"/>
      <w:sz w:val="18"/>
      <w:szCs w:val="18"/>
    </w:rPr>
  </w:style>
  <w:style w:type="character" w:customStyle="1" w:styleId="Char2">
    <w:name w:val="页眉 Char"/>
    <w:link w:val="a9"/>
    <w:rPr>
      <w:rFonts w:eastAsia="宋体"/>
      <w:kern w:val="2"/>
      <w:sz w:val="18"/>
      <w:szCs w:val="18"/>
      <w:lang w:val="en-US" w:eastAsia="zh-CN" w:bidi="ar-SA"/>
    </w:rPr>
  </w:style>
  <w:style w:type="paragraph" w:customStyle="1" w:styleId="ordinary-outputtarget-output">
    <w:name w:val="ordinary-output target-output"/>
    <w:basedOn w:val="a"/>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style>
  <w:style w:type="character" w:customStyle="1" w:styleId="ptbrand5">
    <w:name w:val="ptbrand5"/>
    <w:basedOn w:val="a0"/>
  </w:style>
  <w:style w:type="character" w:customStyle="1" w:styleId="extradetail2">
    <w:name w:val="extradetail2"/>
    <w:basedOn w:val="a0"/>
  </w:style>
  <w:style w:type="paragraph" w:styleId="ad">
    <w:name w:val="List Paragraph"/>
    <w:basedOn w:val="a"/>
    <w:uiPriority w:val="34"/>
    <w:qFormat/>
    <w:pPr>
      <w:ind w:firstLineChars="200" w:firstLine="420"/>
    </w:pPr>
  </w:style>
  <w:style w:type="character" w:customStyle="1" w:styleId="ae">
    <w:name w:val="未处理的提及"/>
    <w:uiPriority w:val="99"/>
    <w:unhideWhenUs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455</Words>
  <Characters>2595</Characters>
  <Application>Microsoft Office Word</Application>
  <DocSecurity>0</DocSecurity>
  <Lines>21</Lines>
  <Paragraphs>6</Paragraphs>
  <ScaleCrop>false</ScaleCrop>
  <Company>天津医科大学</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AutoBVT</cp:lastModifiedBy>
  <cp:revision>25</cp:revision>
  <cp:lastPrinted>2019-10-05T08:44:00Z</cp:lastPrinted>
  <dcterms:created xsi:type="dcterms:W3CDTF">2023-11-01T02:44:00Z</dcterms:created>
  <dcterms:modified xsi:type="dcterms:W3CDTF">2024-03-20T07:25:00Z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19DD6CEEE8064CD5800FDF8A1052B33D_13</vt:lpwstr>
  </property>
</Properties>
</file>