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 w:val="28"/>
        </w:rPr>
      </w:pPr>
      <w:r>
        <w:rPr>
          <w:rFonts w:hint="eastAsia" w:ascii="宋体" w:hAnsi="宋体"/>
          <w:b/>
          <w:sz w:val="28"/>
          <w:u w:val="single"/>
        </w:rPr>
        <w:t>_</w:t>
      </w:r>
      <w:r>
        <w:rPr>
          <w:rFonts w:hint="eastAsia" w:ascii="Times New Roman" w:hAnsi="Times New Roman" w:eastAsia="宋体" w:cs="Times New Roman"/>
          <w:b/>
          <w:sz w:val="28"/>
          <w:u w:val="single"/>
        </w:rPr>
        <w:t>_内分泌系统整合课__</w:t>
      </w:r>
      <w:r>
        <w:rPr>
          <w:rFonts w:hint="eastAsia"/>
          <w:b/>
          <w:sz w:val="28"/>
        </w:rPr>
        <w:t xml:space="preserve">课 程 指 南 </w:t>
      </w:r>
    </w:p>
    <w:p>
      <w:pPr>
        <w:spacing w:line="360" w:lineRule="auto"/>
        <w:jc w:val="center"/>
        <w:rPr>
          <w:rFonts w:hint="eastAsia"/>
          <w:b/>
          <w:sz w:val="28"/>
        </w:rPr>
      </w:pPr>
      <w:r>
        <w:rPr>
          <w:rFonts w:hint="eastAsia"/>
          <w:b/>
          <w:sz w:val="28"/>
        </w:rPr>
        <w:t>(整合课程）</w:t>
      </w:r>
    </w:p>
    <w:p>
      <w:pPr>
        <w:numPr>
          <w:ilvl w:val="0"/>
          <w:numId w:val="1"/>
        </w:numPr>
        <w:spacing w:line="360" w:lineRule="auto"/>
        <w:ind w:left="420" w:leftChars="0" w:firstLine="0" w:firstLineChars="0"/>
        <w:rPr>
          <w:rFonts w:hint="eastAsia"/>
          <w:b/>
          <w:szCs w:val="21"/>
        </w:rPr>
      </w:pPr>
      <w:r>
        <w:rPr>
          <w:rFonts w:hint="eastAsia"/>
          <w:b/>
          <w:szCs w:val="21"/>
        </w:rPr>
        <w:t xml:space="preserve">课程信息 </w:t>
      </w:r>
      <w:r>
        <w:rPr>
          <w:rFonts w:hint="eastAsia"/>
          <w:szCs w:val="21"/>
        </w:rPr>
        <w:t xml:space="preserve">   </w:t>
      </w:r>
      <w:r>
        <w:rPr>
          <w:rFonts w:hint="eastAsia"/>
          <w:b/>
          <w:szCs w:val="21"/>
        </w:rPr>
        <w:t>课程编号：</w:t>
      </w:r>
      <w:r>
        <w:rPr>
          <w:rFonts w:hint="eastAsia"/>
          <w:szCs w:val="21"/>
        </w:rPr>
        <w:t xml:space="preserve">1901008003  </w:t>
      </w:r>
      <w:r>
        <w:rPr>
          <w:rFonts w:hint="eastAsia"/>
          <w:b/>
          <w:szCs w:val="21"/>
        </w:rPr>
        <w:t>中文：</w:t>
      </w:r>
      <w:r>
        <w:rPr>
          <w:rFonts w:hint="eastAsia" w:ascii="黑体" w:eastAsia="黑体"/>
          <w:b/>
          <w:szCs w:val="21"/>
        </w:rPr>
        <w:t xml:space="preserve"> </w:t>
      </w:r>
      <w:r>
        <w:rPr>
          <w:rFonts w:hint="eastAsia"/>
        </w:rPr>
        <w:t>内分泌系统整合课</w:t>
      </w:r>
      <w:r>
        <w:rPr>
          <w:rFonts w:hint="eastAsia"/>
          <w:szCs w:val="21"/>
        </w:rPr>
        <w:t xml:space="preserve">   </w:t>
      </w:r>
      <w:r>
        <w:rPr>
          <w:rFonts w:hint="eastAsia"/>
          <w:b/>
          <w:szCs w:val="21"/>
        </w:rPr>
        <w:t xml:space="preserve">英文： </w:t>
      </w:r>
      <w:r>
        <w:rPr>
          <w:rFonts w:hint="eastAsia"/>
        </w:rPr>
        <w:t>Integrated course of endocrine system</w:t>
      </w:r>
      <w:r>
        <w:rPr>
          <w:rFonts w:hint="eastAsia"/>
          <w:b/>
          <w:szCs w:val="21"/>
        </w:rPr>
        <w:t xml:space="preserve">    </w:t>
      </w:r>
    </w:p>
    <w:p>
      <w:pPr>
        <w:numPr>
          <w:ilvl w:val="0"/>
          <w:numId w:val="0"/>
        </w:numPr>
        <w:spacing w:line="360" w:lineRule="auto"/>
        <w:ind w:left="420" w:leftChars="0"/>
        <w:rPr>
          <w:rFonts w:hint="eastAsia"/>
          <w:szCs w:val="21"/>
        </w:rPr>
      </w:pPr>
      <w:r>
        <w:rPr>
          <w:rFonts w:hint="eastAsia"/>
          <w:b/>
          <w:szCs w:val="21"/>
        </w:rPr>
        <w:t>二、开课学院（系）、</w:t>
      </w:r>
      <w:r>
        <w:rPr>
          <w:rFonts w:hint="eastAsia"/>
          <w:b/>
        </w:rPr>
        <w:t>系（教研室）</w:t>
      </w:r>
      <w:r>
        <w:rPr>
          <w:rFonts w:hint="eastAsia"/>
          <w:b/>
          <w:szCs w:val="21"/>
        </w:rPr>
        <w:t>：</w:t>
      </w:r>
      <w:r>
        <w:rPr>
          <w:rFonts w:hint="eastAsia"/>
          <w:szCs w:val="21"/>
        </w:rPr>
        <w:t xml:space="preserve"> </w:t>
      </w:r>
      <w:r>
        <w:rPr>
          <w:rFonts w:hint="eastAsia"/>
        </w:rPr>
        <w:t>基础医学院</w:t>
      </w:r>
      <w:r>
        <w:rPr>
          <w:rFonts w:hint="eastAsia"/>
          <w:szCs w:val="21"/>
        </w:rPr>
        <w:t xml:space="preserve">           </w:t>
      </w:r>
    </w:p>
    <w:p>
      <w:pPr>
        <w:spacing w:line="360" w:lineRule="auto"/>
        <w:rPr>
          <w:rFonts w:hint="eastAsia" w:eastAsia="宋体"/>
          <w:b/>
          <w:lang w:eastAsia="zh-CN"/>
        </w:rPr>
      </w:pPr>
      <w:r>
        <w:rPr>
          <w:rFonts w:hint="eastAsia"/>
          <w:b/>
          <w:szCs w:val="21"/>
        </w:rPr>
        <w:t xml:space="preserve">    三、学时学分：</w:t>
      </w:r>
      <w:r>
        <w:rPr>
          <w:rFonts w:hint="eastAsia"/>
          <w:b/>
        </w:rPr>
        <w:t>学分：</w:t>
      </w:r>
      <w:r>
        <w:rPr>
          <w:rFonts w:hint="eastAsia"/>
          <w:b/>
          <w:lang w:val="en-US" w:eastAsia="zh-CN"/>
        </w:rPr>
        <w:t>1.5</w:t>
      </w:r>
      <w:r>
        <w:rPr>
          <w:rFonts w:hint="eastAsia"/>
          <w:b/>
        </w:rPr>
        <w:t>； 总学时：</w:t>
      </w:r>
      <w:r>
        <w:rPr>
          <w:rFonts w:hint="eastAsia"/>
          <w:b/>
          <w:lang w:val="en-US" w:eastAsia="zh-CN"/>
        </w:rPr>
        <w:t>27</w:t>
      </w:r>
      <w:r>
        <w:rPr>
          <w:rFonts w:hint="eastAsia"/>
          <w:b/>
        </w:rPr>
        <w:t>； 理论学时：</w:t>
      </w:r>
      <w:r>
        <w:rPr>
          <w:rFonts w:hint="eastAsia"/>
          <w:lang w:val="en-US" w:eastAsia="zh-CN"/>
        </w:rPr>
        <w:t>14</w:t>
      </w:r>
      <w:r>
        <w:rPr>
          <w:rFonts w:hint="eastAsia"/>
          <w:b/>
        </w:rPr>
        <w:t>；实验或实践学时：</w:t>
      </w:r>
      <w:r>
        <w:rPr>
          <w:rFonts w:hint="eastAsia"/>
          <w:b/>
          <w:lang w:val="en-US" w:eastAsia="zh-CN"/>
        </w:rPr>
        <w:t>6</w:t>
      </w:r>
      <w:r>
        <w:rPr>
          <w:rFonts w:hint="eastAsia"/>
          <w:b/>
        </w:rPr>
        <w:t>；</w:t>
      </w:r>
      <w:r>
        <w:rPr>
          <w:rFonts w:hint="eastAsia"/>
          <w:b/>
          <w:lang w:val="en-US" w:eastAsia="zh-CN"/>
        </w:rPr>
        <w:t>PBL</w:t>
      </w:r>
      <w:r>
        <w:rPr>
          <w:b/>
        </w:rPr>
        <w:t>学时：</w:t>
      </w:r>
      <w:r>
        <w:rPr>
          <w:rFonts w:hint="eastAsia"/>
          <w:b/>
          <w:lang w:val="en-US" w:eastAsia="zh-CN"/>
        </w:rPr>
        <w:t>7</w:t>
      </w:r>
    </w:p>
    <w:p>
      <w:pPr>
        <w:spacing w:line="360" w:lineRule="auto"/>
        <w:rPr>
          <w:rFonts w:hint="eastAsia"/>
          <w:szCs w:val="21"/>
        </w:rPr>
      </w:pPr>
      <w:r>
        <w:rPr>
          <w:rFonts w:hint="eastAsia"/>
          <w:b/>
          <w:szCs w:val="21"/>
        </w:rPr>
        <w:t xml:space="preserve">    四、</w:t>
      </w:r>
      <w:r>
        <w:rPr>
          <w:rFonts w:hint="eastAsia"/>
          <w:b/>
        </w:rPr>
        <w:t xml:space="preserve">授课对象： </w:t>
      </w:r>
      <w:r>
        <w:rPr>
          <w:rFonts w:hint="eastAsia"/>
        </w:rPr>
        <w:t>临床5+3专业</w:t>
      </w:r>
    </w:p>
    <w:p>
      <w:pPr>
        <w:spacing w:line="360" w:lineRule="auto"/>
        <w:rPr>
          <w:rFonts w:hint="eastAsia"/>
          <w:b/>
          <w:szCs w:val="21"/>
        </w:rPr>
      </w:pPr>
      <w:r>
        <w:rPr>
          <w:rFonts w:hint="eastAsia"/>
          <w:b/>
          <w:szCs w:val="21"/>
        </w:rPr>
        <w:t xml:space="preserve">    五、课程基本内容简介：</w:t>
      </w:r>
    </w:p>
    <w:p>
      <w:pPr>
        <w:spacing w:line="360" w:lineRule="auto"/>
        <w:ind w:firstLine="420" w:firstLineChars="200"/>
        <w:rPr>
          <w:b/>
        </w:rPr>
      </w:pPr>
      <w:r>
        <w:rPr>
          <w:rFonts w:hint="eastAsia" w:hAnsi="宋体"/>
        </w:rPr>
        <w:t>基础医学课程整合-内分泌系统课程</w:t>
      </w:r>
      <w:r>
        <w:rPr>
          <w:rFonts w:hAnsi="宋体"/>
        </w:rPr>
        <w:t>“</w:t>
      </w:r>
      <w:r>
        <w:rPr>
          <w:rFonts w:hint="eastAsia" w:hAnsi="宋体"/>
        </w:rPr>
        <w:t>以内分泌系统为中心</w:t>
      </w:r>
      <w:r>
        <w:rPr>
          <w:rFonts w:hAnsi="宋体"/>
        </w:rPr>
        <w:t>”</w:t>
      </w:r>
      <w:r>
        <w:rPr>
          <w:rFonts w:hint="eastAsia" w:hAnsi="宋体"/>
        </w:rPr>
        <w:t>，整合医学基础各学科中内分泌系统相关知识，从宏观到微观、结构到功能、正常到异常、形态到机能、</w:t>
      </w:r>
      <w:r>
        <w:rPr>
          <w:rFonts w:hint="eastAsia" w:hAnsi="宋体"/>
          <w:lang w:val="en-US" w:eastAsia="zh-CN"/>
        </w:rPr>
        <w:t>疾病</w:t>
      </w:r>
      <w:r>
        <w:rPr>
          <w:rFonts w:hint="eastAsia" w:hAnsi="宋体"/>
        </w:rPr>
        <w:t>到治疗。内分泌系统整合课程由内分泌系统正常形态结构、正常生理功能及调节、内分泌系统疾病、和相关药物组成。</w:t>
      </w:r>
    </w:p>
    <w:p>
      <w:pPr>
        <w:spacing w:line="360" w:lineRule="auto"/>
        <w:ind w:firstLine="435"/>
        <w:rPr>
          <w:b/>
        </w:rPr>
      </w:pPr>
      <w:r>
        <w:rPr>
          <w:rFonts w:hint="eastAsia"/>
          <w:b/>
          <w:szCs w:val="21"/>
        </w:rPr>
        <w:t>六、</w:t>
      </w:r>
      <w:r>
        <w:rPr>
          <w:rFonts w:hint="eastAsia"/>
          <w:b/>
        </w:rPr>
        <w:t>教学目标</w:t>
      </w:r>
    </w:p>
    <w:p>
      <w:pPr>
        <w:numPr>
          <w:ilvl w:val="0"/>
          <w:numId w:val="2"/>
        </w:numPr>
        <w:spacing w:line="360" w:lineRule="auto"/>
        <w:rPr>
          <w:bCs/>
        </w:rPr>
      </w:pPr>
      <w:r>
        <w:rPr>
          <w:rFonts w:hint="eastAsia"/>
          <w:b/>
          <w:szCs w:val="21"/>
        </w:rPr>
        <w:t>知识目标</w:t>
      </w:r>
      <w:r>
        <w:rPr>
          <w:rFonts w:hint="eastAsia"/>
          <w:bCs/>
        </w:rPr>
        <w:t>：以系统、器官为主线</w:t>
      </w:r>
      <w:r>
        <w:rPr>
          <w:rFonts w:hint="eastAsia" w:hAnsi="宋体"/>
        </w:rPr>
        <w:t>，</w:t>
      </w:r>
      <w:r>
        <w:rPr>
          <w:rFonts w:hint="eastAsia"/>
          <w:bCs/>
        </w:rPr>
        <w:t>把内分泌系统具有关联性的课程内容紧密联系在一起，打破学科界限，使各学科知识相互渗透，提高学生对人体内分泌系统的整体性认识和对知识的深入学习和系统掌握。</w:t>
      </w:r>
    </w:p>
    <w:p>
      <w:pPr>
        <w:numPr>
          <w:ilvl w:val="0"/>
          <w:numId w:val="2"/>
        </w:numPr>
        <w:spacing w:line="360" w:lineRule="auto"/>
        <w:rPr>
          <w:rFonts w:hint="eastAsia" w:hAnsi="宋体"/>
        </w:rPr>
      </w:pPr>
      <w:r>
        <w:rPr>
          <w:rFonts w:hint="eastAsia"/>
          <w:b/>
          <w:szCs w:val="21"/>
        </w:rPr>
        <w:t>技能目标：</w:t>
      </w:r>
      <w:r>
        <w:rPr>
          <w:rFonts w:hint="eastAsia" w:hAnsi="宋体"/>
        </w:rPr>
        <w:t>综合分析</w:t>
      </w:r>
      <w:r>
        <w:rPr>
          <w:rFonts w:hint="eastAsia" w:hAnsi="宋体"/>
          <w:lang w:val="en-US" w:eastAsia="zh-CN"/>
        </w:rPr>
        <w:t>能力</w:t>
      </w:r>
      <w:r>
        <w:rPr>
          <w:rFonts w:hint="eastAsia" w:hAnsi="宋体"/>
        </w:rPr>
        <w:t>、解决问题的能力。</w:t>
      </w:r>
    </w:p>
    <w:p>
      <w:pPr>
        <w:pStyle w:val="8"/>
        <w:numPr>
          <w:ilvl w:val="0"/>
          <w:numId w:val="2"/>
        </w:numPr>
        <w:spacing w:line="360" w:lineRule="auto"/>
        <w:ind w:firstLineChars="0"/>
        <w:rPr>
          <w:szCs w:val="21"/>
        </w:rPr>
      </w:pPr>
      <w:r>
        <w:rPr>
          <w:rFonts w:hint="eastAsia"/>
          <w:b/>
          <w:szCs w:val="21"/>
        </w:rPr>
        <w:t>思政目标</w:t>
      </w:r>
    </w:p>
    <w:tbl>
      <w:tblPr>
        <w:tblStyle w:val="5"/>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649"/>
        <w:gridCol w:w="2320"/>
        <w:gridCol w:w="170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288" w:lineRule="auto"/>
              <w:jc w:val="center"/>
              <w:rPr>
                <w:b/>
              </w:rPr>
            </w:pPr>
            <w:r>
              <w:rPr>
                <w:rFonts w:hint="eastAsia"/>
                <w:b/>
              </w:rPr>
              <w:t>序号</w:t>
            </w:r>
          </w:p>
        </w:tc>
        <w:tc>
          <w:tcPr>
            <w:tcW w:w="1649" w:type="dxa"/>
            <w:noWrap w:val="0"/>
            <w:vAlign w:val="center"/>
          </w:tcPr>
          <w:p>
            <w:pPr>
              <w:spacing w:line="288" w:lineRule="auto"/>
              <w:jc w:val="center"/>
              <w:rPr>
                <w:b/>
              </w:rPr>
            </w:pPr>
            <w:r>
              <w:rPr>
                <w:rFonts w:hint="eastAsia"/>
                <w:b/>
              </w:rPr>
              <w:t>章节</w:t>
            </w:r>
          </w:p>
        </w:tc>
        <w:tc>
          <w:tcPr>
            <w:tcW w:w="2320" w:type="dxa"/>
            <w:noWrap w:val="0"/>
            <w:vAlign w:val="center"/>
          </w:tcPr>
          <w:p>
            <w:pPr>
              <w:spacing w:line="288" w:lineRule="auto"/>
              <w:jc w:val="center"/>
              <w:rPr>
                <w:b/>
              </w:rPr>
            </w:pPr>
            <w:r>
              <w:rPr>
                <w:rFonts w:hint="eastAsia"/>
                <w:b/>
              </w:rPr>
              <w:t>专业知识点</w:t>
            </w:r>
          </w:p>
        </w:tc>
        <w:tc>
          <w:tcPr>
            <w:tcW w:w="1701" w:type="dxa"/>
            <w:noWrap w:val="0"/>
            <w:vAlign w:val="center"/>
          </w:tcPr>
          <w:p>
            <w:pPr>
              <w:spacing w:line="288" w:lineRule="auto"/>
              <w:jc w:val="center"/>
              <w:rPr>
                <w:b/>
              </w:rPr>
            </w:pPr>
            <w:r>
              <w:rPr>
                <w:rFonts w:hint="eastAsia"/>
                <w:b/>
              </w:rPr>
              <w:t>思政元素点</w:t>
            </w:r>
          </w:p>
        </w:tc>
        <w:tc>
          <w:tcPr>
            <w:tcW w:w="2126" w:type="dxa"/>
            <w:noWrap w:val="0"/>
            <w:vAlign w:val="center"/>
          </w:tcPr>
          <w:p>
            <w:pPr>
              <w:spacing w:line="288" w:lineRule="auto"/>
              <w:jc w:val="center"/>
              <w:rPr>
                <w:b/>
              </w:rPr>
            </w:pPr>
            <w:r>
              <w:rPr>
                <w:rFonts w:hint="eastAsia"/>
                <w:b/>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60" w:lineRule="auto"/>
              <w:rPr>
                <w:rFonts w:hint="eastAsia" w:ascii="宋体" w:hAnsi="宋体" w:eastAsia="宋体" w:cs="宋体"/>
              </w:rPr>
            </w:pPr>
            <w:r>
              <w:rPr>
                <w:rFonts w:hint="eastAsia" w:ascii="宋体" w:hAnsi="宋体" w:eastAsia="宋体" w:cs="宋体"/>
              </w:rPr>
              <w:t>1</w:t>
            </w:r>
          </w:p>
        </w:tc>
        <w:tc>
          <w:tcPr>
            <w:tcW w:w="1649" w:type="dxa"/>
            <w:noWrap w:val="0"/>
            <w:vAlign w:val="top"/>
          </w:tcPr>
          <w:p>
            <w:pPr>
              <w:spacing w:line="360" w:lineRule="auto"/>
              <w:rPr>
                <w:rFonts w:hint="eastAsia" w:ascii="宋体" w:hAnsi="宋体" w:eastAsia="宋体" w:cs="宋体"/>
              </w:rPr>
            </w:pPr>
            <w:r>
              <w:rPr>
                <w:rFonts w:hint="eastAsia" w:ascii="宋体" w:hAnsi="宋体" w:eastAsia="宋体" w:cs="宋体"/>
              </w:rPr>
              <w:t>甲状腺激素</w:t>
            </w:r>
          </w:p>
        </w:tc>
        <w:tc>
          <w:tcPr>
            <w:tcW w:w="2320" w:type="dxa"/>
            <w:noWrap w:val="0"/>
            <w:vAlign w:val="top"/>
          </w:tcPr>
          <w:p>
            <w:pPr>
              <w:spacing w:line="360" w:lineRule="auto"/>
              <w:rPr>
                <w:rFonts w:hint="eastAsia" w:ascii="宋体" w:hAnsi="宋体" w:eastAsia="宋体" w:cs="宋体"/>
              </w:rPr>
            </w:pPr>
            <w:r>
              <w:rPr>
                <w:rFonts w:hint="eastAsia" w:ascii="宋体" w:hAnsi="宋体" w:eastAsia="宋体" w:cs="宋体"/>
              </w:rPr>
              <w:t>碘在甲状腺功能中的作用</w:t>
            </w:r>
          </w:p>
        </w:tc>
        <w:tc>
          <w:tcPr>
            <w:tcW w:w="1701" w:type="dxa"/>
            <w:noWrap w:val="0"/>
            <w:vAlign w:val="top"/>
          </w:tcPr>
          <w:p>
            <w:pPr>
              <w:spacing w:line="360" w:lineRule="auto"/>
              <w:rPr>
                <w:rFonts w:hint="eastAsia" w:ascii="宋体" w:hAnsi="宋体" w:eastAsia="宋体" w:cs="宋体"/>
              </w:rPr>
            </w:pPr>
            <w:r>
              <w:rPr>
                <w:rFonts w:hint="eastAsia" w:ascii="宋体" w:hAnsi="宋体" w:eastAsia="宋体" w:cs="宋体"/>
              </w:rPr>
              <w:t>我校在碘缺乏疾病中的贡献</w:t>
            </w:r>
          </w:p>
        </w:tc>
        <w:tc>
          <w:tcPr>
            <w:tcW w:w="2126" w:type="dxa"/>
            <w:noWrap w:val="0"/>
            <w:vAlign w:val="top"/>
          </w:tcPr>
          <w:p>
            <w:pPr>
              <w:spacing w:line="360" w:lineRule="auto"/>
              <w:rPr>
                <w:rFonts w:hint="eastAsia" w:ascii="宋体" w:hAnsi="宋体" w:eastAsia="宋体" w:cs="宋体"/>
              </w:rPr>
            </w:pPr>
            <w:r>
              <w:rPr>
                <w:rFonts w:hint="eastAsia" w:ascii="宋体" w:hAnsi="宋体" w:eastAsia="宋体" w:cs="宋体"/>
              </w:rPr>
              <w:t>增强我校同学的荣誉感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60" w:lineRule="auto"/>
              <w:rPr>
                <w:rFonts w:hint="eastAsia" w:ascii="宋体" w:hAnsi="宋体" w:eastAsia="宋体" w:cs="宋体"/>
              </w:rPr>
            </w:pPr>
            <w:r>
              <w:rPr>
                <w:rFonts w:hint="eastAsia" w:ascii="宋体" w:hAnsi="宋体" w:eastAsia="宋体" w:cs="宋体"/>
              </w:rPr>
              <w:t>2</w:t>
            </w:r>
          </w:p>
        </w:tc>
        <w:tc>
          <w:tcPr>
            <w:tcW w:w="1649" w:type="dxa"/>
            <w:noWrap w:val="0"/>
            <w:vAlign w:val="top"/>
          </w:tcPr>
          <w:p>
            <w:pPr>
              <w:spacing w:line="360" w:lineRule="auto"/>
              <w:rPr>
                <w:rFonts w:hint="eastAsia" w:ascii="宋体" w:hAnsi="宋体" w:eastAsia="宋体" w:cs="宋体"/>
              </w:rPr>
            </w:pPr>
            <w:r>
              <w:rPr>
                <w:rFonts w:hint="eastAsia" w:ascii="宋体" w:hAnsi="宋体" w:eastAsia="宋体" w:cs="宋体"/>
              </w:rPr>
              <w:t>肾上腺皮质激素</w:t>
            </w:r>
          </w:p>
        </w:tc>
        <w:tc>
          <w:tcPr>
            <w:tcW w:w="2320" w:type="dxa"/>
            <w:noWrap w:val="0"/>
            <w:vAlign w:val="top"/>
          </w:tcPr>
          <w:p>
            <w:pPr>
              <w:spacing w:line="360" w:lineRule="auto"/>
              <w:rPr>
                <w:rFonts w:hint="eastAsia" w:ascii="宋体" w:hAnsi="宋体" w:eastAsia="宋体" w:cs="宋体"/>
              </w:rPr>
            </w:pPr>
            <w:r>
              <w:rPr>
                <w:rFonts w:hint="eastAsia" w:ascii="宋体" w:hAnsi="宋体" w:eastAsia="宋体" w:cs="宋体"/>
              </w:rPr>
              <w:t>糖皮质激素的临床应用</w:t>
            </w:r>
          </w:p>
        </w:tc>
        <w:tc>
          <w:tcPr>
            <w:tcW w:w="1701" w:type="dxa"/>
            <w:noWrap w:val="0"/>
            <w:vAlign w:val="top"/>
          </w:tcPr>
          <w:p>
            <w:pPr>
              <w:spacing w:line="360" w:lineRule="auto"/>
              <w:rPr>
                <w:rFonts w:hint="eastAsia" w:ascii="宋体" w:hAnsi="宋体" w:eastAsia="宋体" w:cs="宋体"/>
              </w:rPr>
            </w:pPr>
            <w:r>
              <w:rPr>
                <w:rFonts w:hint="eastAsia" w:ascii="宋体" w:hAnsi="宋体" w:eastAsia="宋体" w:cs="宋体"/>
              </w:rPr>
              <w:t xml:space="preserve">医护工作者在SARS来袭时的奉献精神 </w:t>
            </w:r>
          </w:p>
        </w:tc>
        <w:tc>
          <w:tcPr>
            <w:tcW w:w="2126" w:type="dxa"/>
            <w:noWrap w:val="0"/>
            <w:vAlign w:val="top"/>
          </w:tcPr>
          <w:p>
            <w:pPr>
              <w:spacing w:line="360" w:lineRule="auto"/>
              <w:rPr>
                <w:rFonts w:hint="eastAsia" w:ascii="宋体" w:hAnsi="宋体" w:eastAsia="宋体" w:cs="宋体"/>
              </w:rPr>
            </w:pPr>
            <w:r>
              <w:rPr>
                <w:rFonts w:hint="eastAsia" w:ascii="宋体" w:hAnsi="宋体" w:eastAsia="宋体" w:cs="宋体"/>
              </w:rPr>
              <w:t>强化同学健康所系，性命相托的责任感</w:t>
            </w:r>
          </w:p>
        </w:tc>
      </w:tr>
    </w:tbl>
    <w:p>
      <w:pPr>
        <w:spacing w:line="360" w:lineRule="auto"/>
        <w:rPr>
          <w:rFonts w:hint="eastAsia"/>
          <w:b/>
        </w:rPr>
      </w:pPr>
      <w:r>
        <w:rPr>
          <w:rFonts w:hint="eastAsia"/>
          <w:b/>
        </w:rPr>
        <w:t xml:space="preserve">    七、主要教学方法：</w:t>
      </w:r>
    </w:p>
    <w:p>
      <w:pPr>
        <w:spacing w:line="360" w:lineRule="auto"/>
        <w:rPr>
          <w:rFonts w:hint="eastAsia"/>
        </w:rPr>
      </w:pPr>
      <w:r>
        <w:rPr>
          <w:rFonts w:hint="eastAsia"/>
          <w:b/>
        </w:rPr>
        <w:t xml:space="preserve">   </w:t>
      </w:r>
      <w:r>
        <w:rPr>
          <w:rFonts w:hint="eastAsia"/>
        </w:rPr>
        <w:t xml:space="preserve"> 教学方法含“教”与“学”两个方面，包括课堂讲授、小组讨论、基于问题或案例的学习、同伴学习、实验教学、临床示教、床旁教学、临床技能训练、情景教学、模拟/虚拟教学、线上线下混合教学等。自主学习要明确教学方法和考核方式，以及自主学习部分成绩评定内容和成绩分配。</w:t>
      </w:r>
    </w:p>
    <w:p>
      <w:pPr>
        <w:spacing w:line="360" w:lineRule="auto"/>
        <w:rPr>
          <w:rFonts w:hint="eastAsia"/>
          <w:b/>
        </w:rPr>
      </w:pPr>
      <w:r>
        <w:rPr>
          <w:rFonts w:hint="eastAsia"/>
        </w:rPr>
        <w:t xml:space="preserve">    </w:t>
      </w:r>
      <w:r>
        <w:rPr>
          <w:rFonts w:hint="eastAsia"/>
          <w:b/>
        </w:rPr>
        <w:t>八、参考教材（名称、主编、出版社、出版时间）：</w:t>
      </w:r>
    </w:p>
    <w:p>
      <w:pPr>
        <w:spacing w:line="360" w:lineRule="auto"/>
        <w:rPr>
          <w:rFonts w:hint="eastAsia"/>
        </w:rPr>
      </w:pPr>
      <w:r>
        <w:rPr>
          <w:rFonts w:hint="eastAsia"/>
        </w:rPr>
        <w:t>1. 药理学，杨宝峰，人民卫生出版社，2018年</w:t>
      </w:r>
    </w:p>
    <w:p>
      <w:pPr>
        <w:spacing w:line="360" w:lineRule="auto"/>
        <w:rPr>
          <w:rFonts w:hint="eastAsia"/>
        </w:rPr>
      </w:pPr>
      <w:r>
        <w:rPr>
          <w:rFonts w:hint="eastAsia"/>
        </w:rPr>
        <w:t>2. 生理学，王庭槐，人民卫生出版社，2018年</w:t>
      </w:r>
    </w:p>
    <w:p>
      <w:pPr>
        <w:spacing w:line="360" w:lineRule="auto"/>
        <w:rPr>
          <w:rFonts w:hint="eastAsia"/>
        </w:rPr>
      </w:pPr>
      <w:r>
        <w:rPr>
          <w:rFonts w:hint="eastAsia"/>
        </w:rPr>
        <w:t>3. 病理生理学，王建枝，人民卫生出版社，2018年</w:t>
      </w:r>
    </w:p>
    <w:p>
      <w:pPr>
        <w:spacing w:line="360" w:lineRule="auto"/>
        <w:rPr>
          <w:rFonts w:hint="eastAsia"/>
        </w:rPr>
      </w:pPr>
      <w:r>
        <w:rPr>
          <w:rFonts w:hint="eastAsia"/>
        </w:rPr>
        <w:t>4．内科学，葛均波，人民卫生出版社，2018年</w:t>
      </w:r>
    </w:p>
    <w:p>
      <w:pPr>
        <w:spacing w:line="360" w:lineRule="auto"/>
        <w:rPr>
          <w:rFonts w:hint="eastAsia"/>
        </w:rPr>
      </w:pPr>
      <w:r>
        <w:rPr>
          <w:rFonts w:hint="eastAsia"/>
          <w:lang w:val="en-US" w:eastAsia="zh-CN"/>
        </w:rPr>
        <w:t>5.</w:t>
      </w:r>
      <w:r>
        <w:rPr>
          <w:rFonts w:hint="eastAsia"/>
        </w:rPr>
        <w:t>内分泌系统，高惠宝、宁光主编，上海交通大学出版社，2012年第1版</w:t>
      </w:r>
    </w:p>
    <w:p>
      <w:pPr>
        <w:spacing w:line="360" w:lineRule="auto"/>
        <w:rPr>
          <w:rFonts w:hint="default" w:eastAsia="宋体"/>
          <w:lang w:val="en-US" w:eastAsia="zh-CN"/>
        </w:rPr>
      </w:pPr>
      <w:r>
        <w:rPr>
          <w:rFonts w:hint="eastAsia"/>
          <w:lang w:val="en-US" w:eastAsia="zh-CN"/>
        </w:rPr>
        <w:t>6.</w:t>
      </w:r>
      <w:r>
        <w:rPr>
          <w:rFonts w:hint="eastAsia" w:ascii="Times New Roman" w:hAnsi="Times New Roman" w:eastAsia="宋体" w:cs="Times New Roman"/>
          <w:lang w:val="en-US" w:eastAsia="zh-CN"/>
        </w:rPr>
        <w:t>病理学, 孙保存, 北京大学医学出版, 2019年</w:t>
      </w:r>
      <w:r>
        <w:rPr>
          <w:rFonts w:hint="eastAsia"/>
          <w:lang w:val="en-US" w:eastAsia="zh-CN"/>
        </w:rPr>
        <w:t xml:space="preserve"> </w:t>
      </w:r>
    </w:p>
    <w:p>
      <w:pPr>
        <w:spacing w:line="360" w:lineRule="auto"/>
        <w:rPr>
          <w:rFonts w:hint="eastAsia"/>
          <w:lang w:val="en-US" w:eastAsia="zh-CN"/>
        </w:rPr>
      </w:pPr>
      <w:r>
        <w:rPr>
          <w:rFonts w:hint="eastAsia"/>
          <w:lang w:val="en-US" w:eastAsia="zh-CN"/>
        </w:rPr>
        <w:t>7.Goodman&amp;Gillsman’s The Pharmacologica Basis of Therapeutics.Laurence L. Brunton, Björn C. Knollmann. 14th edition. Mc GrawHill, 2023</w:t>
      </w:r>
    </w:p>
    <w:p>
      <w:pPr>
        <w:spacing w:line="360" w:lineRule="auto"/>
        <w:rPr>
          <w:rFonts w:hint="eastAsia"/>
          <w:lang w:val="en-US" w:eastAsia="zh-CN"/>
        </w:rPr>
      </w:pPr>
      <w:r>
        <w:rPr>
          <w:rFonts w:hint="eastAsia"/>
          <w:lang w:val="en-US" w:eastAsia="zh-CN"/>
        </w:rPr>
        <w:t>8.ROBBINS AND COTRAN PATHOLOGIC BASIS OF DISEASE, Vinay Kumar, Abul K. Abbas, Jon C. Aster, Elsevier, Ninth Edition.</w:t>
      </w:r>
    </w:p>
    <w:p>
      <w:pPr>
        <w:spacing w:line="360" w:lineRule="auto"/>
        <w:rPr>
          <w:rFonts w:hint="default"/>
          <w:lang w:val="en-US" w:eastAsia="zh-CN"/>
        </w:rPr>
      </w:pPr>
      <w:r>
        <w:rPr>
          <w:rFonts w:hint="eastAsia"/>
          <w:lang w:val="en-US" w:eastAsia="zh-CN"/>
        </w:rPr>
        <w:t>9.Pathophysiology.徐哲龙，肖献忠等，清华大学出版社，2018年第1版</w:t>
      </w:r>
    </w:p>
    <w:p>
      <w:pPr>
        <w:spacing w:line="360" w:lineRule="auto"/>
        <w:rPr>
          <w:rFonts w:hint="eastAsia"/>
        </w:rPr>
      </w:pPr>
    </w:p>
    <w:p>
      <w:pPr>
        <w:spacing w:line="360" w:lineRule="auto"/>
        <w:rPr>
          <w:rFonts w:hint="eastAsia"/>
          <w:b/>
        </w:rPr>
      </w:pPr>
      <w:r>
        <w:rPr>
          <w:rFonts w:hint="eastAsia"/>
          <w:b/>
        </w:rPr>
        <w:t xml:space="preserve">    九、教学学习</w:t>
      </w:r>
      <w:r>
        <w:rPr>
          <w:b/>
        </w:rPr>
        <w:t>资源</w:t>
      </w:r>
      <w:r>
        <w:rPr>
          <w:rFonts w:hint="eastAsia"/>
          <w:b/>
        </w:rPr>
        <w:t>或</w:t>
      </w:r>
      <w:r>
        <w:rPr>
          <w:b/>
        </w:rPr>
        <w:t>平台</w:t>
      </w:r>
      <w:r>
        <w:rPr>
          <w:rFonts w:hint="eastAsia"/>
          <w:b/>
        </w:rPr>
        <w:t>：</w:t>
      </w:r>
    </w:p>
    <w:p>
      <w:pPr>
        <w:spacing w:line="360" w:lineRule="auto"/>
        <w:ind w:firstLine="420" w:firstLineChars="200"/>
        <w:rPr>
          <w:rFonts w:hint="eastAsia"/>
        </w:rPr>
      </w:pPr>
      <w:r>
        <w:rPr>
          <w:rFonts w:hint="eastAsia"/>
          <w:lang w:val="en-US" w:eastAsia="zh-CN"/>
        </w:rPr>
        <w:t>为</w:t>
      </w:r>
      <w:r>
        <w:rPr>
          <w:rFonts w:hint="eastAsia"/>
        </w:rPr>
        <w:t>提高教学效果和学习成效的资源，让学生更加便捷地获取学习资料，提高课堂教学效果。</w:t>
      </w:r>
      <w:r>
        <w:rPr>
          <w:rFonts w:hint="eastAsia"/>
          <w:lang w:val="en-US" w:eastAsia="zh-CN"/>
        </w:rPr>
        <w:t>内分泌系统整合课构建了在线学习平台：内分泌整合课程（https://mooc1.chaoxing.com/mooc-ans/course/205119182.html）</w:t>
      </w:r>
      <w:r>
        <w:rPr>
          <w:rFonts w:hint="eastAsia"/>
        </w:rPr>
        <w:t>。</w:t>
      </w:r>
    </w:p>
    <w:p>
      <w:pPr>
        <w:spacing w:line="288" w:lineRule="auto"/>
        <w:rPr>
          <w:rFonts w:hint="eastAsia"/>
          <w:b/>
        </w:rPr>
      </w:pPr>
      <w:r>
        <w:rPr>
          <w:rFonts w:hint="eastAsia"/>
          <w:b/>
        </w:rPr>
        <w:t xml:space="preserve">    十、考核方式：</w:t>
      </w:r>
    </w:p>
    <w:p>
      <w:pPr>
        <w:spacing w:line="360" w:lineRule="auto"/>
        <w:ind w:firstLine="422" w:firstLineChars="200"/>
        <w:rPr>
          <w:rFonts w:hint="default" w:eastAsia="宋体"/>
          <w:b/>
          <w:szCs w:val="21"/>
          <w:lang w:val="en-US" w:eastAsia="zh-CN"/>
        </w:rPr>
      </w:pPr>
      <w:r>
        <w:rPr>
          <w:rFonts w:hint="eastAsia"/>
          <w:b/>
        </w:rPr>
        <w:t xml:space="preserve">    </w:t>
      </w:r>
      <w:r>
        <w:rPr>
          <w:rFonts w:hint="eastAsia"/>
        </w:rPr>
        <w:t>整合课程要通过实施综合性考核来促进学生整合性学习，作为必修课，本门课程结束后，将进行闭卷考试。期末考试成绩占总成绩的50%，试题应全面反映教学大纲的要求，同时还应反映学生学习能力提高的情况</w:t>
      </w:r>
      <w:r>
        <w:rPr>
          <w:rFonts w:hint="eastAsia"/>
          <w:lang w:eastAsia="zh-CN"/>
        </w:rPr>
        <w:t>。</w:t>
      </w:r>
      <w:r>
        <w:rPr>
          <w:rFonts w:hint="eastAsia"/>
          <w:lang w:val="en-US" w:eastAsia="zh-CN"/>
        </w:rPr>
        <w:t>考核采用学校考易系统进行。</w:t>
      </w:r>
      <w:r>
        <w:rPr>
          <w:rFonts w:hint="eastAsia"/>
        </w:rPr>
        <w:t>为促进学生自主学习能力和实践能力的培养，PBL成绩占30%，实验课成绩占20%。实验课成绩包括实验报告完成情况（10％）、实验课参与程度（5％）、小测验成绩（5％）等。</w:t>
      </w:r>
      <w:r>
        <w:t xml:space="preserve"> </w:t>
      </w:r>
      <w:r>
        <w:rPr>
          <w:rFonts w:hint="eastAsia"/>
        </w:rPr>
        <w:t>PBL成绩按PBL</w:t>
      </w:r>
      <w:r>
        <w:rPr>
          <w:rFonts w:hint="eastAsia"/>
          <w:highlight w:val="none"/>
        </w:rPr>
        <w:t>现有</w:t>
      </w:r>
      <w:r>
        <w:rPr>
          <w:rFonts w:hint="eastAsia"/>
        </w:rPr>
        <w:t>评价指标实行。</w:t>
      </w:r>
      <w:r>
        <w:rPr>
          <w:rFonts w:hint="eastAsia"/>
          <w:lang w:val="en-US" w:eastAsia="zh-CN"/>
        </w:rPr>
        <w:t>最终</w:t>
      </w:r>
      <w:r>
        <w:rPr>
          <w:rFonts w:hint="eastAsia"/>
        </w:rPr>
        <w:t>考核与评价的分析结果</w:t>
      </w:r>
      <w:r>
        <w:rPr>
          <w:rFonts w:hint="eastAsia"/>
          <w:lang w:val="en-US" w:eastAsia="zh-CN"/>
        </w:rPr>
        <w:t>通过在线学习平台（学习通）向学生进行反馈。</w:t>
      </w:r>
    </w:p>
    <w:p>
      <w:pPr>
        <w:spacing w:line="288" w:lineRule="auto"/>
        <w:rPr>
          <w:rFonts w:hint="eastAsia" w:eastAsia="宋体"/>
          <w:b/>
          <w:lang w:val="en-US" w:eastAsia="zh-CN"/>
        </w:rPr>
        <w:sectPr>
          <w:headerReference r:id="rId3" w:type="default"/>
          <w:pgSz w:w="11906" w:h="16838"/>
          <w:pgMar w:top="1440" w:right="1800" w:bottom="1440" w:left="1800" w:header="851" w:footer="992" w:gutter="0"/>
          <w:cols w:space="720" w:num="1"/>
          <w:docGrid w:type="lines" w:linePitch="312" w:charSpace="0"/>
        </w:sectPr>
      </w:pPr>
    </w:p>
    <w:p>
      <w:pPr>
        <w:spacing w:line="360" w:lineRule="auto"/>
        <w:rPr>
          <w:b/>
        </w:rPr>
      </w:pPr>
      <w:r>
        <w:rPr>
          <w:rFonts w:hint="eastAsia"/>
          <w:b/>
        </w:rPr>
        <w:t>附表1：教学计划表</w:t>
      </w:r>
    </w:p>
    <w:tbl>
      <w:tblPr>
        <w:tblStyle w:val="5"/>
        <w:tblW w:w="8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7"/>
        <w:gridCol w:w="4978"/>
        <w:gridCol w:w="727"/>
        <w:gridCol w:w="756"/>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b/>
              </w:rPr>
            </w:pPr>
            <w:r>
              <w:rPr>
                <w:rFonts w:hint="eastAsia"/>
                <w:b/>
              </w:rPr>
              <w:t>序号</w:t>
            </w:r>
          </w:p>
        </w:tc>
        <w:tc>
          <w:tcPr>
            <w:tcW w:w="4978" w:type="dxa"/>
            <w:noWrap w:val="0"/>
            <w:vAlign w:val="center"/>
          </w:tcPr>
          <w:p>
            <w:pPr>
              <w:spacing w:after="120" w:line="360" w:lineRule="auto"/>
              <w:jc w:val="center"/>
              <w:rPr>
                <w:b/>
              </w:rPr>
            </w:pPr>
            <w:r>
              <w:rPr>
                <w:rFonts w:hint="eastAsia"/>
                <w:b/>
              </w:rPr>
              <w:t>学习内容</w:t>
            </w:r>
          </w:p>
        </w:tc>
        <w:tc>
          <w:tcPr>
            <w:tcW w:w="727" w:type="dxa"/>
            <w:noWrap w:val="0"/>
            <w:vAlign w:val="top"/>
          </w:tcPr>
          <w:p>
            <w:pPr>
              <w:spacing w:after="120" w:line="360" w:lineRule="auto"/>
              <w:jc w:val="center"/>
              <w:rPr>
                <w:b/>
              </w:rPr>
            </w:pPr>
            <w:r>
              <w:rPr>
                <w:rFonts w:hint="eastAsia"/>
                <w:b/>
              </w:rPr>
              <w:t>理论</w:t>
            </w:r>
          </w:p>
        </w:tc>
        <w:tc>
          <w:tcPr>
            <w:tcW w:w="756" w:type="dxa"/>
            <w:noWrap w:val="0"/>
            <w:vAlign w:val="top"/>
          </w:tcPr>
          <w:p>
            <w:pPr>
              <w:spacing w:after="120" w:line="360" w:lineRule="auto"/>
              <w:jc w:val="center"/>
              <w:rPr>
                <w:b/>
              </w:rPr>
            </w:pPr>
            <w:r>
              <w:rPr>
                <w:rFonts w:hint="eastAsia"/>
                <w:b/>
              </w:rPr>
              <w:t>实验</w:t>
            </w:r>
          </w:p>
        </w:tc>
        <w:tc>
          <w:tcPr>
            <w:tcW w:w="950" w:type="dxa"/>
            <w:noWrap w:val="0"/>
            <w:vAlign w:val="center"/>
          </w:tcPr>
          <w:p>
            <w:pPr>
              <w:spacing w:after="120" w:line="360" w:lineRule="auto"/>
              <w:jc w:val="center"/>
              <w:rPr>
                <w:rFonts w:hint="default" w:eastAsia="宋体"/>
                <w:b/>
                <w:lang w:val="en-US" w:eastAsia="zh-CN"/>
              </w:rPr>
            </w:pPr>
            <w:r>
              <w:rPr>
                <w:rFonts w:hint="eastAsia"/>
                <w:b/>
                <w:lang w:val="en-US" w:eastAsia="zh-CN"/>
              </w:rPr>
              <w:t>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07" w:type="dxa"/>
            <w:noWrap w:val="0"/>
            <w:vAlign w:val="center"/>
          </w:tcPr>
          <w:p>
            <w:pPr>
              <w:spacing w:after="120" w:line="360" w:lineRule="auto"/>
              <w:jc w:val="center"/>
            </w:pPr>
            <w:r>
              <w:rPr>
                <w:rFonts w:hint="eastAsia"/>
              </w:rPr>
              <w:t>1</w:t>
            </w:r>
          </w:p>
        </w:tc>
        <w:tc>
          <w:tcPr>
            <w:tcW w:w="4978" w:type="dxa"/>
            <w:noWrap w:val="0"/>
            <w:vAlign w:val="center"/>
          </w:tcPr>
          <w:p>
            <w:pPr>
              <w:spacing w:after="120" w:line="360" w:lineRule="auto"/>
              <w:jc w:val="center"/>
            </w:pPr>
            <w:r>
              <w:rPr>
                <w:rFonts w:hint="eastAsia"/>
              </w:rPr>
              <w:t>内分</w:t>
            </w:r>
            <w:r>
              <w:rPr>
                <w:rFonts w:hint="eastAsia"/>
                <w:lang w:eastAsia="zh-CN"/>
              </w:rPr>
              <w:t>泌</w:t>
            </w:r>
            <w:r>
              <w:rPr>
                <w:rFonts w:hint="eastAsia"/>
              </w:rPr>
              <w:t>系统绪论</w:t>
            </w:r>
          </w:p>
        </w:tc>
        <w:tc>
          <w:tcPr>
            <w:tcW w:w="727" w:type="dxa"/>
            <w:noWrap w:val="0"/>
            <w:vAlign w:val="top"/>
          </w:tcPr>
          <w:p>
            <w:pPr>
              <w:spacing w:after="120" w:line="360" w:lineRule="auto"/>
              <w:jc w:val="center"/>
              <w:rPr>
                <w:rFonts w:hint="eastAsia" w:eastAsia="宋体"/>
                <w:lang w:eastAsia="zh-CN"/>
              </w:rPr>
            </w:pPr>
            <w:r>
              <w:rPr>
                <w:rFonts w:hint="eastAsia"/>
                <w:lang w:val="en-US" w:eastAsia="zh-CN"/>
              </w:rPr>
              <w:t>1</w:t>
            </w:r>
          </w:p>
        </w:tc>
        <w:tc>
          <w:tcPr>
            <w:tcW w:w="756" w:type="dxa"/>
            <w:noWrap w:val="0"/>
            <w:vAlign w:val="top"/>
          </w:tcPr>
          <w:p>
            <w:pPr>
              <w:spacing w:after="120" w:line="360" w:lineRule="auto"/>
              <w:jc w:val="center"/>
            </w:pPr>
          </w:p>
        </w:tc>
        <w:tc>
          <w:tcPr>
            <w:tcW w:w="950" w:type="dxa"/>
            <w:noWrap w:val="0"/>
            <w:vAlign w:val="center"/>
          </w:tcPr>
          <w:p>
            <w:pPr>
              <w:spacing w:after="120"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1207" w:type="dxa"/>
            <w:noWrap w:val="0"/>
            <w:vAlign w:val="center"/>
          </w:tcPr>
          <w:p>
            <w:pPr>
              <w:spacing w:after="120" w:line="360" w:lineRule="auto"/>
              <w:jc w:val="center"/>
              <w:rPr>
                <w:rFonts w:hint="eastAsia"/>
              </w:rPr>
            </w:pPr>
            <w:r>
              <w:rPr>
                <w:rFonts w:hint="eastAsia"/>
              </w:rPr>
              <w:t>2</w:t>
            </w:r>
          </w:p>
        </w:tc>
        <w:tc>
          <w:tcPr>
            <w:tcW w:w="4978" w:type="dxa"/>
            <w:noWrap w:val="0"/>
            <w:vAlign w:val="center"/>
          </w:tcPr>
          <w:p>
            <w:pPr>
              <w:spacing w:after="120" w:line="360" w:lineRule="auto"/>
              <w:jc w:val="center"/>
              <w:rPr>
                <w:rFonts w:hint="eastAsia"/>
              </w:rPr>
            </w:pPr>
            <w:r>
              <w:rPr>
                <w:rFonts w:hint="eastAsia"/>
              </w:rPr>
              <w:t>应激相关概念，应激的机制，应激时机体的代谢和功能变化，疾病及处理原则</w:t>
            </w:r>
          </w:p>
        </w:tc>
        <w:tc>
          <w:tcPr>
            <w:tcW w:w="727" w:type="dxa"/>
            <w:noWrap w:val="0"/>
            <w:vAlign w:val="top"/>
          </w:tcPr>
          <w:p>
            <w:pPr>
              <w:spacing w:after="120" w:line="360" w:lineRule="auto"/>
              <w:jc w:val="center"/>
              <w:rPr>
                <w:rFonts w:hint="eastAsia"/>
              </w:rPr>
            </w:pPr>
            <w:r>
              <w:rPr>
                <w:rFonts w:hint="eastAsia"/>
                <w:highlight w:val="none"/>
              </w:rPr>
              <w:t>3</w:t>
            </w:r>
          </w:p>
        </w:tc>
        <w:tc>
          <w:tcPr>
            <w:tcW w:w="756" w:type="dxa"/>
            <w:noWrap w:val="0"/>
            <w:vAlign w:val="top"/>
          </w:tcPr>
          <w:p>
            <w:pPr>
              <w:spacing w:after="120" w:line="360" w:lineRule="auto"/>
              <w:jc w:val="center"/>
              <w:rPr>
                <w:rFonts w:hint="eastAsia"/>
              </w:rPr>
            </w:pPr>
          </w:p>
        </w:tc>
        <w:tc>
          <w:tcPr>
            <w:tcW w:w="950" w:type="dxa"/>
            <w:noWrap w:val="0"/>
            <w:vAlign w:val="center"/>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rPr>
            </w:pPr>
            <w:r>
              <w:rPr>
                <w:rFonts w:hint="eastAsia"/>
              </w:rPr>
              <w:t>5</w:t>
            </w:r>
          </w:p>
        </w:tc>
        <w:tc>
          <w:tcPr>
            <w:tcW w:w="4978" w:type="dxa"/>
            <w:noWrap w:val="0"/>
            <w:vAlign w:val="center"/>
          </w:tcPr>
          <w:p>
            <w:pPr>
              <w:spacing w:after="120" w:line="360" w:lineRule="auto"/>
              <w:jc w:val="center"/>
              <w:rPr>
                <w:rFonts w:hint="eastAsia"/>
              </w:rPr>
            </w:pPr>
            <w:r>
              <w:rPr>
                <w:rFonts w:hint="eastAsia"/>
              </w:rPr>
              <w:t>甲状腺相关疾病: 结节性甲状腺肿及病理变化；弥漫性甲腺肿及病理变化；桥本甲腺炎及病理变化</w:t>
            </w:r>
          </w:p>
        </w:tc>
        <w:tc>
          <w:tcPr>
            <w:tcW w:w="727" w:type="dxa"/>
            <w:noWrap w:val="0"/>
            <w:vAlign w:val="top"/>
          </w:tcPr>
          <w:p>
            <w:pPr>
              <w:spacing w:after="120" w:line="360" w:lineRule="auto"/>
              <w:jc w:val="center"/>
              <w:rPr>
                <w:rFonts w:hint="eastAsia" w:eastAsia="宋体"/>
                <w:highlight w:val="none"/>
                <w:lang w:val="en-US" w:eastAsia="zh-CN"/>
              </w:rPr>
            </w:pPr>
            <w:r>
              <w:rPr>
                <w:rFonts w:hint="eastAsia"/>
                <w:lang w:val="en-US" w:eastAsia="zh-CN"/>
              </w:rPr>
              <w:t>2</w:t>
            </w:r>
          </w:p>
        </w:tc>
        <w:tc>
          <w:tcPr>
            <w:tcW w:w="756" w:type="dxa"/>
            <w:noWrap w:val="0"/>
            <w:vAlign w:val="top"/>
          </w:tcPr>
          <w:p>
            <w:pPr>
              <w:spacing w:after="120" w:line="360" w:lineRule="auto"/>
              <w:jc w:val="center"/>
              <w:rPr>
                <w:rFonts w:hint="eastAsia"/>
                <w:highlight w:val="none"/>
              </w:rPr>
            </w:pPr>
            <w:r>
              <w:rPr>
                <w:rFonts w:hint="eastAsia"/>
              </w:rPr>
              <w:t>2</w:t>
            </w:r>
          </w:p>
        </w:tc>
        <w:tc>
          <w:tcPr>
            <w:tcW w:w="950" w:type="dxa"/>
            <w:noWrap w:val="0"/>
            <w:vAlign w:val="center"/>
          </w:tcPr>
          <w:p>
            <w:pPr>
              <w:spacing w:after="120" w:line="360" w:lineRule="auto"/>
              <w:jc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rPr>
            </w:pPr>
            <w:r>
              <w:rPr>
                <w:rFonts w:hint="eastAsia"/>
              </w:rPr>
              <w:t>6</w:t>
            </w:r>
          </w:p>
        </w:tc>
        <w:tc>
          <w:tcPr>
            <w:tcW w:w="4978" w:type="dxa"/>
            <w:noWrap w:val="0"/>
            <w:vAlign w:val="center"/>
          </w:tcPr>
          <w:p>
            <w:pPr>
              <w:spacing w:after="120" w:line="360" w:lineRule="auto"/>
              <w:jc w:val="center"/>
              <w:rPr>
                <w:rFonts w:hint="eastAsia"/>
              </w:rPr>
            </w:pPr>
            <w:r>
              <w:rPr>
                <w:rFonts w:hint="eastAsia"/>
              </w:rPr>
              <w:t>甲状腺相关疾病: 单纯甲状腺肿及病理变化；甲状腺肿瘤及病理变化</w:t>
            </w:r>
          </w:p>
        </w:tc>
        <w:tc>
          <w:tcPr>
            <w:tcW w:w="727" w:type="dxa"/>
            <w:noWrap w:val="0"/>
            <w:vAlign w:val="top"/>
          </w:tcPr>
          <w:p>
            <w:pPr>
              <w:spacing w:after="120" w:line="360" w:lineRule="auto"/>
              <w:jc w:val="center"/>
              <w:rPr>
                <w:rFonts w:hint="eastAsia"/>
              </w:rPr>
            </w:pPr>
            <w:r>
              <w:rPr>
                <w:rFonts w:hint="eastAsia"/>
              </w:rPr>
              <w:t>2</w:t>
            </w:r>
          </w:p>
        </w:tc>
        <w:tc>
          <w:tcPr>
            <w:tcW w:w="756" w:type="dxa"/>
            <w:noWrap w:val="0"/>
            <w:vAlign w:val="top"/>
          </w:tcPr>
          <w:p>
            <w:pPr>
              <w:spacing w:after="120" w:line="360" w:lineRule="auto"/>
              <w:jc w:val="center"/>
              <w:rPr>
                <w:rFonts w:hint="eastAsia"/>
              </w:rPr>
            </w:pPr>
            <w:r>
              <w:rPr>
                <w:rFonts w:hint="eastAsia"/>
              </w:rPr>
              <w:t>1</w:t>
            </w:r>
          </w:p>
        </w:tc>
        <w:tc>
          <w:tcPr>
            <w:tcW w:w="950" w:type="dxa"/>
            <w:noWrap w:val="0"/>
            <w:vAlign w:val="center"/>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rPr>
            </w:pPr>
            <w:r>
              <w:rPr>
                <w:rFonts w:hint="eastAsia"/>
              </w:rPr>
              <w:t>7</w:t>
            </w:r>
          </w:p>
        </w:tc>
        <w:tc>
          <w:tcPr>
            <w:tcW w:w="4978" w:type="dxa"/>
            <w:noWrap w:val="0"/>
            <w:vAlign w:val="center"/>
          </w:tcPr>
          <w:p>
            <w:pPr>
              <w:spacing w:after="120" w:line="360" w:lineRule="auto"/>
              <w:jc w:val="center"/>
              <w:rPr>
                <w:rFonts w:hint="eastAsia"/>
              </w:rPr>
            </w:pPr>
            <w:r>
              <w:rPr>
                <w:rFonts w:hint="eastAsia"/>
              </w:rPr>
              <w:t>甲状腺、甲状旁腺及所分泌激素的生物学作用、分泌调节</w:t>
            </w:r>
          </w:p>
        </w:tc>
        <w:tc>
          <w:tcPr>
            <w:tcW w:w="727" w:type="dxa"/>
            <w:noWrap w:val="0"/>
            <w:vAlign w:val="top"/>
          </w:tcPr>
          <w:p>
            <w:pPr>
              <w:spacing w:after="120" w:line="360" w:lineRule="auto"/>
              <w:jc w:val="center"/>
              <w:rPr>
                <w:rFonts w:hint="eastAsia" w:eastAsia="宋体"/>
                <w:lang w:eastAsia="zh-CN"/>
              </w:rPr>
            </w:pPr>
          </w:p>
        </w:tc>
        <w:tc>
          <w:tcPr>
            <w:tcW w:w="756" w:type="dxa"/>
            <w:noWrap w:val="0"/>
            <w:vAlign w:val="top"/>
          </w:tcPr>
          <w:p>
            <w:pPr>
              <w:spacing w:after="120" w:line="360" w:lineRule="auto"/>
              <w:jc w:val="center"/>
              <w:rPr>
                <w:rFonts w:hint="eastAsia"/>
              </w:rPr>
            </w:pPr>
          </w:p>
        </w:tc>
        <w:tc>
          <w:tcPr>
            <w:tcW w:w="950" w:type="dxa"/>
            <w:noWrap w:val="0"/>
            <w:vAlign w:val="top"/>
          </w:tcPr>
          <w:p>
            <w:pPr>
              <w:spacing w:after="120" w:line="360" w:lineRule="auto"/>
              <w:jc w:val="center"/>
              <w:rPr>
                <w:rFonts w:hint="eastAsia"/>
              </w:rPr>
            </w:pP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rPr>
            </w:pPr>
            <w:r>
              <w:rPr>
                <w:rFonts w:hint="eastAsia"/>
              </w:rPr>
              <w:t>8</w:t>
            </w:r>
          </w:p>
        </w:tc>
        <w:tc>
          <w:tcPr>
            <w:tcW w:w="4978" w:type="dxa"/>
            <w:noWrap w:val="0"/>
            <w:vAlign w:val="center"/>
          </w:tcPr>
          <w:p>
            <w:pPr>
              <w:spacing w:after="120" w:line="360" w:lineRule="auto"/>
              <w:jc w:val="center"/>
              <w:rPr>
                <w:rFonts w:hint="eastAsia"/>
              </w:rPr>
            </w:pPr>
            <w:r>
              <w:rPr>
                <w:rFonts w:hint="eastAsia"/>
              </w:rPr>
              <w:t>甲状腺和甲状腺内分泌疾病：甲状腺功能亢进；甲状腺功能减退症；原发性甲状旁腺功能亢进症</w:t>
            </w:r>
          </w:p>
        </w:tc>
        <w:tc>
          <w:tcPr>
            <w:tcW w:w="727" w:type="dxa"/>
            <w:noWrap w:val="0"/>
            <w:vAlign w:val="top"/>
          </w:tcPr>
          <w:p>
            <w:pPr>
              <w:spacing w:after="120" w:line="360" w:lineRule="auto"/>
              <w:jc w:val="center"/>
              <w:rPr>
                <w:rFonts w:hint="eastAsia"/>
              </w:rPr>
            </w:pPr>
          </w:p>
        </w:tc>
        <w:tc>
          <w:tcPr>
            <w:tcW w:w="756" w:type="dxa"/>
            <w:noWrap w:val="0"/>
            <w:vAlign w:val="top"/>
          </w:tcPr>
          <w:p>
            <w:pPr>
              <w:spacing w:after="120" w:line="360" w:lineRule="auto"/>
              <w:jc w:val="center"/>
              <w:rPr>
                <w:rFonts w:hint="eastAsia"/>
              </w:rPr>
            </w:pPr>
          </w:p>
        </w:tc>
        <w:tc>
          <w:tcPr>
            <w:tcW w:w="950" w:type="dxa"/>
            <w:noWrap w:val="0"/>
            <w:vAlign w:val="center"/>
          </w:tcPr>
          <w:p>
            <w:pPr>
              <w:spacing w:after="120" w:line="360" w:lineRule="auto"/>
              <w:jc w:val="center"/>
              <w:rPr>
                <w:rFonts w:hint="eastAsia"/>
              </w:rPr>
            </w:pPr>
            <w:r>
              <w:rPr>
                <w:rFonts w:hint="eastAsia"/>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rPr>
            </w:pPr>
            <w:r>
              <w:rPr>
                <w:rFonts w:hint="eastAsia"/>
              </w:rPr>
              <w:t>9</w:t>
            </w:r>
          </w:p>
        </w:tc>
        <w:tc>
          <w:tcPr>
            <w:tcW w:w="4978" w:type="dxa"/>
            <w:noWrap w:val="0"/>
            <w:vAlign w:val="center"/>
          </w:tcPr>
          <w:p>
            <w:pPr>
              <w:spacing w:after="120" w:line="360" w:lineRule="auto"/>
              <w:jc w:val="center"/>
              <w:rPr>
                <w:rFonts w:hint="eastAsia"/>
              </w:rPr>
            </w:pPr>
            <w:r>
              <w:rPr>
                <w:rFonts w:hint="eastAsia"/>
              </w:rPr>
              <w:t>抗甲状腺药物</w:t>
            </w:r>
          </w:p>
        </w:tc>
        <w:tc>
          <w:tcPr>
            <w:tcW w:w="727" w:type="dxa"/>
            <w:noWrap w:val="0"/>
            <w:vAlign w:val="top"/>
          </w:tcPr>
          <w:p>
            <w:pPr>
              <w:spacing w:after="120" w:line="360" w:lineRule="auto"/>
              <w:jc w:val="center"/>
              <w:rPr>
                <w:rFonts w:hint="default"/>
                <w:lang w:val="en-US" w:eastAsia="zh-CN"/>
              </w:rPr>
            </w:pPr>
          </w:p>
        </w:tc>
        <w:tc>
          <w:tcPr>
            <w:tcW w:w="756" w:type="dxa"/>
            <w:noWrap w:val="0"/>
            <w:vAlign w:val="top"/>
          </w:tcPr>
          <w:p>
            <w:pPr>
              <w:spacing w:after="120" w:line="360" w:lineRule="auto"/>
              <w:jc w:val="center"/>
              <w:rPr>
                <w:rFonts w:hint="eastAsia"/>
              </w:rPr>
            </w:pPr>
          </w:p>
        </w:tc>
        <w:tc>
          <w:tcPr>
            <w:tcW w:w="950" w:type="dxa"/>
            <w:noWrap w:val="0"/>
            <w:vAlign w:val="top"/>
          </w:tcPr>
          <w:p>
            <w:pPr>
              <w:spacing w:after="120" w:line="360" w:lineRule="auto"/>
              <w:jc w:val="center"/>
              <w:rPr>
                <w:rFonts w:hint="eastAsia"/>
              </w:rPr>
            </w:pP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rPr>
            </w:pPr>
            <w:r>
              <w:rPr>
                <w:rFonts w:hint="eastAsia"/>
              </w:rPr>
              <w:t>11</w:t>
            </w:r>
          </w:p>
        </w:tc>
        <w:tc>
          <w:tcPr>
            <w:tcW w:w="4978" w:type="dxa"/>
            <w:noWrap w:val="0"/>
            <w:vAlign w:val="center"/>
          </w:tcPr>
          <w:p>
            <w:pPr>
              <w:spacing w:after="120" w:line="360" w:lineRule="auto"/>
              <w:jc w:val="center"/>
              <w:rPr>
                <w:rFonts w:hint="eastAsia"/>
              </w:rPr>
            </w:pPr>
            <w:r>
              <w:rPr>
                <w:rFonts w:hint="eastAsia"/>
              </w:rPr>
              <w:t>糖皮质激素的药理作用、临床应用、不良反应用法与疗程；盐皮质激素； 促皮质激素与皮质激素抑制药</w:t>
            </w:r>
          </w:p>
        </w:tc>
        <w:tc>
          <w:tcPr>
            <w:tcW w:w="727" w:type="dxa"/>
            <w:noWrap w:val="0"/>
            <w:vAlign w:val="top"/>
          </w:tcPr>
          <w:p>
            <w:pPr>
              <w:spacing w:after="120" w:line="360" w:lineRule="auto"/>
              <w:jc w:val="center"/>
              <w:rPr>
                <w:rFonts w:hint="eastAsia"/>
              </w:rPr>
            </w:pPr>
            <w:r>
              <w:rPr>
                <w:rFonts w:hint="eastAsia"/>
                <w:lang w:val="en-US" w:eastAsia="zh-CN"/>
              </w:rPr>
              <w:t>3</w:t>
            </w:r>
          </w:p>
        </w:tc>
        <w:tc>
          <w:tcPr>
            <w:tcW w:w="756" w:type="dxa"/>
            <w:noWrap w:val="0"/>
            <w:vAlign w:val="top"/>
          </w:tcPr>
          <w:p>
            <w:pPr>
              <w:spacing w:after="120" w:line="360" w:lineRule="auto"/>
              <w:jc w:val="center"/>
              <w:rPr>
                <w:rFonts w:hint="eastAsia"/>
              </w:rPr>
            </w:pPr>
            <w:r>
              <w:rPr>
                <w:rFonts w:hint="eastAsia"/>
              </w:rPr>
              <w:t>3</w:t>
            </w:r>
          </w:p>
        </w:tc>
        <w:tc>
          <w:tcPr>
            <w:tcW w:w="950" w:type="dxa"/>
            <w:noWrap w:val="0"/>
            <w:vAlign w:val="top"/>
          </w:tcPr>
          <w:p>
            <w:pPr>
              <w:spacing w:after="120" w:line="360" w:lineRule="auto"/>
              <w:jc w:val="center"/>
              <w:rPr>
                <w:rFonts w:hint="eastAsia"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rPr>
            </w:pPr>
            <w:r>
              <w:rPr>
                <w:rFonts w:hint="eastAsia"/>
              </w:rPr>
              <w:t>1</w:t>
            </w:r>
            <w:r>
              <w:rPr>
                <w:rFonts w:hint="eastAsia"/>
                <w:lang w:val="en-US" w:eastAsia="zh-CN"/>
              </w:rPr>
              <w:t>6</w:t>
            </w:r>
          </w:p>
        </w:tc>
        <w:tc>
          <w:tcPr>
            <w:tcW w:w="4978" w:type="dxa"/>
            <w:noWrap w:val="0"/>
            <w:vAlign w:val="center"/>
          </w:tcPr>
          <w:p>
            <w:pPr>
              <w:spacing w:after="120" w:line="360" w:lineRule="auto"/>
              <w:jc w:val="center"/>
              <w:rPr>
                <w:rFonts w:hint="eastAsia"/>
              </w:rPr>
            </w:pPr>
            <w:r>
              <w:rPr>
                <w:rFonts w:hint="eastAsia"/>
              </w:rPr>
              <w:t>胰岛素及其他降糖药</w:t>
            </w:r>
          </w:p>
        </w:tc>
        <w:tc>
          <w:tcPr>
            <w:tcW w:w="727" w:type="dxa"/>
            <w:noWrap w:val="0"/>
            <w:vAlign w:val="top"/>
          </w:tcPr>
          <w:p>
            <w:pPr>
              <w:spacing w:after="120" w:line="360" w:lineRule="auto"/>
              <w:jc w:val="center"/>
              <w:rPr>
                <w:rFonts w:hint="eastAsia" w:eastAsia="宋体"/>
                <w:lang w:val="en-US" w:eastAsia="zh-CN"/>
              </w:rPr>
            </w:pPr>
            <w:r>
              <w:rPr>
                <w:rFonts w:hint="eastAsia"/>
                <w:lang w:val="en-US" w:eastAsia="zh-CN"/>
              </w:rPr>
              <w:t>2</w:t>
            </w:r>
          </w:p>
        </w:tc>
        <w:tc>
          <w:tcPr>
            <w:tcW w:w="756" w:type="dxa"/>
            <w:noWrap w:val="0"/>
            <w:vAlign w:val="top"/>
          </w:tcPr>
          <w:p>
            <w:pPr>
              <w:spacing w:after="120" w:line="360" w:lineRule="auto"/>
              <w:jc w:val="center"/>
              <w:rPr>
                <w:rFonts w:hint="eastAsia"/>
              </w:rPr>
            </w:pPr>
          </w:p>
        </w:tc>
        <w:tc>
          <w:tcPr>
            <w:tcW w:w="950" w:type="dxa"/>
            <w:noWrap w:val="0"/>
            <w:vAlign w:val="top"/>
          </w:tcPr>
          <w:p>
            <w:pPr>
              <w:spacing w:after="120" w:line="360" w:lineRule="auto"/>
              <w:jc w:val="center"/>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rPr>
            </w:pPr>
            <w:r>
              <w:rPr>
                <w:rFonts w:hint="eastAsia"/>
              </w:rPr>
              <w:t>1</w:t>
            </w:r>
            <w:r>
              <w:rPr>
                <w:rFonts w:hint="eastAsia"/>
                <w:lang w:val="en-US" w:eastAsia="zh-CN"/>
              </w:rPr>
              <w:t>7</w:t>
            </w:r>
          </w:p>
        </w:tc>
        <w:tc>
          <w:tcPr>
            <w:tcW w:w="4978" w:type="dxa"/>
            <w:noWrap w:val="0"/>
            <w:vAlign w:val="center"/>
          </w:tcPr>
          <w:p>
            <w:pPr>
              <w:spacing w:after="120" w:line="360" w:lineRule="auto"/>
              <w:jc w:val="center"/>
              <w:rPr>
                <w:rFonts w:hint="eastAsia"/>
              </w:rPr>
            </w:pPr>
            <w:r>
              <w:rPr>
                <w:rFonts w:hint="eastAsia"/>
              </w:rPr>
              <w:t>PI讲进展</w:t>
            </w:r>
          </w:p>
        </w:tc>
        <w:tc>
          <w:tcPr>
            <w:tcW w:w="727" w:type="dxa"/>
            <w:noWrap w:val="0"/>
            <w:vAlign w:val="top"/>
          </w:tcPr>
          <w:p>
            <w:pPr>
              <w:spacing w:after="120" w:line="360" w:lineRule="auto"/>
              <w:jc w:val="center"/>
              <w:rPr>
                <w:rFonts w:hint="default" w:eastAsia="宋体"/>
                <w:lang w:val="en-US" w:eastAsia="zh-CN"/>
              </w:rPr>
            </w:pPr>
            <w:r>
              <w:rPr>
                <w:rFonts w:hint="eastAsia"/>
                <w:highlight w:val="none"/>
              </w:rPr>
              <w:t>2</w:t>
            </w:r>
          </w:p>
        </w:tc>
        <w:tc>
          <w:tcPr>
            <w:tcW w:w="756" w:type="dxa"/>
            <w:noWrap w:val="0"/>
            <w:vAlign w:val="top"/>
          </w:tcPr>
          <w:p>
            <w:pPr>
              <w:spacing w:after="120" w:line="360" w:lineRule="auto"/>
              <w:jc w:val="center"/>
              <w:rPr>
                <w:rFonts w:hint="eastAsia"/>
              </w:rPr>
            </w:pPr>
          </w:p>
        </w:tc>
        <w:tc>
          <w:tcPr>
            <w:tcW w:w="950" w:type="dxa"/>
            <w:noWrap w:val="0"/>
            <w:vAlign w:val="center"/>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eastAsia="宋体"/>
                <w:lang w:eastAsia="zh-CN"/>
              </w:rPr>
            </w:pPr>
          </w:p>
        </w:tc>
        <w:tc>
          <w:tcPr>
            <w:tcW w:w="4978" w:type="dxa"/>
            <w:noWrap w:val="0"/>
            <w:vAlign w:val="center"/>
          </w:tcPr>
          <w:p>
            <w:pPr>
              <w:spacing w:after="120" w:line="360" w:lineRule="auto"/>
              <w:jc w:val="center"/>
              <w:rPr>
                <w:rFonts w:hint="eastAsia"/>
              </w:rPr>
            </w:pPr>
          </w:p>
        </w:tc>
        <w:tc>
          <w:tcPr>
            <w:tcW w:w="727" w:type="dxa"/>
            <w:noWrap w:val="0"/>
            <w:vAlign w:val="top"/>
          </w:tcPr>
          <w:p>
            <w:pPr>
              <w:spacing w:after="120" w:line="360" w:lineRule="auto"/>
              <w:jc w:val="center"/>
              <w:rPr>
                <w:rFonts w:hint="eastAsia"/>
                <w:highlight w:val="none"/>
              </w:rPr>
            </w:pPr>
          </w:p>
        </w:tc>
        <w:tc>
          <w:tcPr>
            <w:tcW w:w="756" w:type="dxa"/>
            <w:noWrap w:val="0"/>
            <w:vAlign w:val="top"/>
          </w:tcPr>
          <w:p>
            <w:pPr>
              <w:spacing w:after="120" w:line="360" w:lineRule="auto"/>
              <w:jc w:val="center"/>
              <w:rPr>
                <w:rFonts w:hint="eastAsia"/>
              </w:rPr>
            </w:pPr>
          </w:p>
        </w:tc>
        <w:tc>
          <w:tcPr>
            <w:tcW w:w="950" w:type="dxa"/>
            <w:noWrap w:val="0"/>
            <w:vAlign w:val="center"/>
          </w:tcPr>
          <w:p>
            <w:pPr>
              <w:spacing w:after="120"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7" w:type="dxa"/>
            <w:noWrap w:val="0"/>
            <w:vAlign w:val="center"/>
          </w:tcPr>
          <w:p>
            <w:pPr>
              <w:spacing w:after="120" w:line="360" w:lineRule="auto"/>
              <w:jc w:val="center"/>
              <w:rPr>
                <w:rFonts w:hint="eastAsia" w:eastAsia="宋体"/>
                <w:lang w:eastAsia="zh-CN"/>
              </w:rPr>
            </w:pPr>
          </w:p>
        </w:tc>
        <w:tc>
          <w:tcPr>
            <w:tcW w:w="4978" w:type="dxa"/>
            <w:noWrap w:val="0"/>
            <w:vAlign w:val="center"/>
          </w:tcPr>
          <w:p>
            <w:pPr>
              <w:spacing w:after="120" w:line="360" w:lineRule="auto"/>
              <w:jc w:val="center"/>
              <w:rPr>
                <w:rFonts w:hint="eastAsia"/>
              </w:rPr>
            </w:pPr>
          </w:p>
        </w:tc>
        <w:tc>
          <w:tcPr>
            <w:tcW w:w="727" w:type="dxa"/>
            <w:noWrap w:val="0"/>
            <w:vAlign w:val="top"/>
          </w:tcPr>
          <w:p>
            <w:pPr>
              <w:spacing w:after="120" w:line="360" w:lineRule="auto"/>
              <w:jc w:val="center"/>
              <w:rPr>
                <w:rFonts w:hint="eastAsia"/>
                <w:highlight w:val="none"/>
              </w:rPr>
            </w:pPr>
          </w:p>
        </w:tc>
        <w:tc>
          <w:tcPr>
            <w:tcW w:w="756" w:type="dxa"/>
            <w:noWrap w:val="0"/>
            <w:vAlign w:val="top"/>
          </w:tcPr>
          <w:p>
            <w:pPr>
              <w:spacing w:after="120" w:line="360" w:lineRule="auto"/>
              <w:jc w:val="center"/>
              <w:rPr>
                <w:rFonts w:hint="eastAsia"/>
              </w:rPr>
            </w:pPr>
          </w:p>
        </w:tc>
        <w:tc>
          <w:tcPr>
            <w:tcW w:w="950" w:type="dxa"/>
            <w:noWrap w:val="0"/>
            <w:vAlign w:val="top"/>
          </w:tcPr>
          <w:p>
            <w:pPr>
              <w:spacing w:after="120" w:line="360" w:lineRule="auto"/>
              <w:jc w:val="center"/>
              <w:rPr>
                <w:rFonts w:hint="eastAsia"/>
              </w:rPr>
            </w:pPr>
          </w:p>
        </w:tc>
      </w:tr>
    </w:tbl>
    <w:p>
      <w:pPr>
        <w:spacing w:line="288" w:lineRule="auto"/>
        <w:rPr>
          <w:rFonts w:hint="eastAsia"/>
          <w:b/>
        </w:rPr>
      </w:pPr>
    </w:p>
    <w:p>
      <w:pPr>
        <w:spacing w:line="288" w:lineRule="auto"/>
        <w:rPr>
          <w:rFonts w:hint="eastAsia"/>
          <w:b/>
        </w:rPr>
      </w:pPr>
    </w:p>
    <w:p>
      <w:pPr>
        <w:spacing w:line="288" w:lineRule="auto"/>
        <w:rPr>
          <w:rFonts w:hint="eastAsia"/>
          <w:b/>
        </w:rPr>
      </w:pPr>
    </w:p>
    <w:p>
      <w:pPr>
        <w:spacing w:line="288" w:lineRule="auto"/>
        <w:rPr>
          <w:rFonts w:hint="eastAsia"/>
          <w:b/>
        </w:rPr>
      </w:pPr>
    </w:p>
    <w:p>
      <w:pPr>
        <w:spacing w:line="288" w:lineRule="auto"/>
        <w:rPr>
          <w:rFonts w:hint="eastAsia"/>
          <w:b/>
        </w:rPr>
      </w:pPr>
    </w:p>
    <w:p>
      <w:pPr>
        <w:spacing w:line="288" w:lineRule="auto"/>
        <w:rPr>
          <w:rFonts w:hint="eastAsia"/>
          <w:b/>
        </w:rPr>
      </w:pPr>
    </w:p>
    <w:p>
      <w:pPr>
        <w:spacing w:line="288" w:lineRule="auto"/>
        <w:rPr>
          <w:rFonts w:hint="eastAsia"/>
          <w:b/>
        </w:rPr>
      </w:pPr>
    </w:p>
    <w:p>
      <w:pPr>
        <w:spacing w:line="288" w:lineRule="auto"/>
        <w:rPr>
          <w:rFonts w:hint="eastAsia"/>
          <w:b/>
        </w:rPr>
      </w:pPr>
      <w:r>
        <w:rPr>
          <w:rFonts w:hint="eastAsia"/>
          <w:b/>
        </w:rPr>
        <w:t>附表2：人文和预防知识点融入</w:t>
      </w:r>
    </w:p>
    <w:tbl>
      <w:tblPr>
        <w:tblStyle w:val="5"/>
        <w:tblpPr w:leftFromText="180" w:rightFromText="180" w:vertAnchor="text" w:tblpY="1"/>
        <w:tblOverlap w:val="never"/>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410"/>
        <w:gridCol w:w="1559"/>
        <w:gridCol w:w="170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959" w:type="dxa"/>
            <w:noWrap w:val="0"/>
            <w:vAlign w:val="center"/>
          </w:tcPr>
          <w:p>
            <w:pPr>
              <w:spacing w:line="288" w:lineRule="auto"/>
              <w:jc w:val="center"/>
              <w:rPr>
                <w:rFonts w:hint="eastAsia"/>
                <w:b/>
              </w:rPr>
            </w:pPr>
            <w:r>
              <w:rPr>
                <w:rFonts w:hint="eastAsia"/>
                <w:b/>
              </w:rPr>
              <w:t>序号</w:t>
            </w:r>
          </w:p>
        </w:tc>
        <w:tc>
          <w:tcPr>
            <w:tcW w:w="2410" w:type="dxa"/>
            <w:noWrap w:val="0"/>
            <w:vAlign w:val="center"/>
          </w:tcPr>
          <w:p>
            <w:pPr>
              <w:spacing w:line="288" w:lineRule="auto"/>
              <w:jc w:val="center"/>
              <w:rPr>
                <w:rFonts w:hint="eastAsia"/>
                <w:b/>
              </w:rPr>
            </w:pPr>
            <w:r>
              <w:rPr>
                <w:rFonts w:hint="eastAsia"/>
                <w:b/>
              </w:rPr>
              <w:t>章节或PBL案例</w:t>
            </w:r>
          </w:p>
        </w:tc>
        <w:tc>
          <w:tcPr>
            <w:tcW w:w="1559" w:type="dxa"/>
            <w:noWrap w:val="0"/>
            <w:vAlign w:val="center"/>
          </w:tcPr>
          <w:p>
            <w:pPr>
              <w:spacing w:line="288" w:lineRule="auto"/>
              <w:jc w:val="center"/>
              <w:rPr>
                <w:rFonts w:hint="eastAsia"/>
                <w:b/>
              </w:rPr>
            </w:pPr>
            <w:r>
              <w:rPr>
                <w:rFonts w:hint="eastAsia"/>
                <w:b/>
              </w:rPr>
              <w:t>专业知识点</w:t>
            </w:r>
          </w:p>
        </w:tc>
        <w:tc>
          <w:tcPr>
            <w:tcW w:w="1701" w:type="dxa"/>
            <w:noWrap w:val="0"/>
            <w:vAlign w:val="center"/>
          </w:tcPr>
          <w:p>
            <w:pPr>
              <w:spacing w:line="288" w:lineRule="auto"/>
              <w:jc w:val="center"/>
              <w:rPr>
                <w:rFonts w:hint="eastAsia"/>
                <w:b/>
              </w:rPr>
            </w:pPr>
            <w:r>
              <w:rPr>
                <w:rFonts w:hint="eastAsia"/>
                <w:b/>
              </w:rPr>
              <w:t>人文知识点</w:t>
            </w:r>
          </w:p>
        </w:tc>
        <w:tc>
          <w:tcPr>
            <w:tcW w:w="2126" w:type="dxa"/>
            <w:noWrap w:val="0"/>
            <w:vAlign w:val="center"/>
          </w:tcPr>
          <w:p>
            <w:pPr>
              <w:spacing w:line="288" w:lineRule="auto"/>
              <w:jc w:val="center"/>
              <w:rPr>
                <w:rFonts w:hint="eastAsia"/>
                <w:b/>
              </w:rPr>
            </w:pPr>
            <w:r>
              <w:rPr>
                <w:rFonts w:hint="eastAsia"/>
                <w:b/>
              </w:rPr>
              <w:t>预防知识点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959" w:type="dxa"/>
            <w:noWrap w:val="0"/>
            <w:vAlign w:val="center"/>
          </w:tcPr>
          <w:p>
            <w:pPr>
              <w:spacing w:after="120" w:line="360" w:lineRule="auto"/>
              <w:jc w:val="center"/>
              <w:rPr>
                <w:rFonts w:hint="eastAsia" w:ascii="Times New Roman" w:hAnsi="Times New Roman" w:eastAsia="宋体" w:cs="Times New Roman"/>
              </w:rPr>
            </w:pPr>
            <w:r>
              <w:rPr>
                <w:rFonts w:hint="eastAsia" w:ascii="Times New Roman" w:hAnsi="Times New Roman" w:eastAsia="宋体" w:cs="Times New Roman"/>
              </w:rPr>
              <w:t>1</w:t>
            </w:r>
          </w:p>
        </w:tc>
        <w:tc>
          <w:tcPr>
            <w:tcW w:w="2410" w:type="dxa"/>
            <w:noWrap w:val="0"/>
            <w:vAlign w:val="center"/>
          </w:tcPr>
          <w:p>
            <w:pPr>
              <w:spacing w:after="120" w:line="36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碘和碘化物</w:t>
            </w:r>
          </w:p>
        </w:tc>
        <w:tc>
          <w:tcPr>
            <w:tcW w:w="1559" w:type="dxa"/>
            <w:noWrap w:val="0"/>
            <w:vAlign w:val="center"/>
          </w:tcPr>
          <w:p>
            <w:pPr>
              <w:spacing w:after="120" w:line="36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碘的应用历史</w:t>
            </w:r>
          </w:p>
        </w:tc>
        <w:tc>
          <w:tcPr>
            <w:tcW w:w="1701" w:type="dxa"/>
            <w:noWrap w:val="0"/>
            <w:vAlign w:val="center"/>
          </w:tcPr>
          <w:p>
            <w:pPr>
              <w:spacing w:after="120" w:line="36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通过传统中医对世界的贡献，增强民族自豪感</w:t>
            </w:r>
          </w:p>
        </w:tc>
        <w:tc>
          <w:tcPr>
            <w:tcW w:w="2126" w:type="dxa"/>
            <w:noWrap w:val="0"/>
            <w:vAlign w:val="center"/>
          </w:tcPr>
          <w:p>
            <w:pPr>
              <w:spacing w:after="120" w:line="360" w:lineRule="auto"/>
              <w:jc w:val="center"/>
              <w:rPr>
                <w:rFonts w:hint="eastAsia"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959" w:type="dxa"/>
            <w:noWrap w:val="0"/>
            <w:vAlign w:val="center"/>
          </w:tcPr>
          <w:p>
            <w:pPr>
              <w:spacing w:after="120" w:line="360" w:lineRule="auto"/>
              <w:jc w:val="center"/>
              <w:rPr>
                <w:rFonts w:hint="eastAsia" w:ascii="Times New Roman" w:hAnsi="Times New Roman" w:eastAsia="宋体" w:cs="Times New Roman"/>
              </w:rPr>
            </w:pPr>
            <w:r>
              <w:rPr>
                <w:rFonts w:hint="eastAsia" w:ascii="Times New Roman" w:hAnsi="Times New Roman" w:eastAsia="宋体" w:cs="Times New Roman"/>
              </w:rPr>
              <w:t>2</w:t>
            </w:r>
          </w:p>
        </w:tc>
        <w:tc>
          <w:tcPr>
            <w:tcW w:w="2410" w:type="dxa"/>
            <w:noWrap w:val="0"/>
            <w:vAlign w:val="center"/>
          </w:tcPr>
          <w:p>
            <w:pPr>
              <w:spacing w:after="120" w:line="360" w:lineRule="auto"/>
              <w:jc w:val="center"/>
              <w:rPr>
                <w:rFonts w:hint="eastAsia" w:ascii="Times New Roman" w:hAnsi="Times New Roman" w:eastAsia="宋体" w:cs="Times New Roman"/>
              </w:rPr>
            </w:pPr>
            <w:r>
              <w:rPr>
                <w:rFonts w:hint="eastAsia" w:ascii="Times New Roman" w:hAnsi="Times New Roman" w:eastAsia="宋体" w:cs="Times New Roman"/>
              </w:rPr>
              <w:t>胰岛</w:t>
            </w:r>
            <w:r>
              <w:rPr>
                <w:rFonts w:hint="eastAsia" w:ascii="Times New Roman" w:hAnsi="Times New Roman" w:eastAsia="宋体" w:cs="Times New Roman"/>
                <w:lang w:val="en-US" w:eastAsia="zh-CN"/>
              </w:rPr>
              <w:t>素</w:t>
            </w:r>
            <w:r>
              <w:rPr>
                <w:rFonts w:hint="eastAsia" w:ascii="Times New Roman" w:hAnsi="Times New Roman" w:eastAsia="宋体" w:cs="Times New Roman"/>
              </w:rPr>
              <w:t>内分泌</w:t>
            </w:r>
          </w:p>
        </w:tc>
        <w:tc>
          <w:tcPr>
            <w:tcW w:w="1559" w:type="dxa"/>
            <w:noWrap w:val="0"/>
            <w:vAlign w:val="center"/>
          </w:tcPr>
          <w:p>
            <w:pPr>
              <w:spacing w:after="120" w:line="360" w:lineRule="auto"/>
              <w:jc w:val="center"/>
              <w:rPr>
                <w:rFonts w:hint="eastAsia" w:ascii="Times New Roman" w:hAnsi="Times New Roman" w:eastAsia="宋体" w:cs="Times New Roman"/>
              </w:rPr>
            </w:pPr>
            <w:r>
              <w:rPr>
                <w:rFonts w:hint="eastAsia" w:ascii="Times New Roman" w:hAnsi="Times New Roman" w:eastAsia="宋体" w:cs="Times New Roman"/>
              </w:rPr>
              <w:t>胰岛素的发现</w:t>
            </w:r>
          </w:p>
        </w:tc>
        <w:tc>
          <w:tcPr>
            <w:tcW w:w="1701" w:type="dxa"/>
            <w:noWrap w:val="0"/>
            <w:vAlign w:val="center"/>
          </w:tcPr>
          <w:p>
            <w:pPr>
              <w:spacing w:after="120" w:line="360" w:lineRule="auto"/>
              <w:jc w:val="center"/>
              <w:rPr>
                <w:rFonts w:hint="eastAsia" w:ascii="Times New Roman" w:hAnsi="Times New Roman" w:eastAsia="宋体" w:cs="Times New Roman"/>
              </w:rPr>
            </w:pPr>
            <w:r>
              <w:rPr>
                <w:rFonts w:hint="eastAsia" w:ascii="Times New Roman" w:hAnsi="Times New Roman" w:eastAsia="宋体" w:cs="Times New Roman"/>
              </w:rPr>
              <w:t xml:space="preserve">通过中国科学家的贡献，增强文化自信以及民族自豪感 </w:t>
            </w:r>
          </w:p>
        </w:tc>
        <w:tc>
          <w:tcPr>
            <w:tcW w:w="2126" w:type="dxa"/>
            <w:noWrap w:val="0"/>
            <w:vAlign w:val="center"/>
          </w:tcPr>
          <w:p>
            <w:pPr>
              <w:spacing w:after="120" w:line="360" w:lineRule="auto"/>
              <w:jc w:val="center"/>
              <w:rPr>
                <w:rFonts w:hint="eastAsia"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959" w:type="dxa"/>
            <w:noWrap w:val="0"/>
            <w:vAlign w:val="center"/>
          </w:tcPr>
          <w:p>
            <w:pPr>
              <w:spacing w:after="120" w:line="360" w:lineRule="auto"/>
              <w:jc w:val="center"/>
              <w:rPr>
                <w:rFonts w:hint="eastAsia" w:ascii="Times New Roman" w:hAnsi="Times New Roman" w:eastAsia="宋体" w:cs="Times New Roman"/>
              </w:rPr>
            </w:pPr>
            <w:r>
              <w:rPr>
                <w:rFonts w:hint="eastAsia" w:ascii="Times New Roman" w:hAnsi="Times New Roman" w:eastAsia="宋体" w:cs="Times New Roman"/>
              </w:rPr>
              <w:t>3</w:t>
            </w:r>
          </w:p>
        </w:tc>
        <w:tc>
          <w:tcPr>
            <w:tcW w:w="2410" w:type="dxa"/>
            <w:noWrap w:val="0"/>
            <w:vAlign w:val="center"/>
          </w:tcPr>
          <w:p>
            <w:pPr>
              <w:spacing w:after="120" w:line="36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应激</w:t>
            </w:r>
          </w:p>
        </w:tc>
        <w:tc>
          <w:tcPr>
            <w:tcW w:w="1559" w:type="dxa"/>
            <w:noWrap w:val="0"/>
            <w:vAlign w:val="center"/>
          </w:tcPr>
          <w:p>
            <w:pPr>
              <w:spacing w:after="120" w:line="360" w:lineRule="auto"/>
              <w:jc w:val="center"/>
              <w:rPr>
                <w:rFonts w:hint="eastAsia" w:ascii="Times New Roman" w:hAnsi="Times New Roman" w:eastAsia="宋体" w:cs="Times New Roman"/>
              </w:rPr>
            </w:pPr>
            <w:r>
              <w:rPr>
                <w:rFonts w:hint="eastAsia" w:ascii="Times New Roman" w:hAnsi="Times New Roman" w:eastAsia="宋体" w:cs="Times New Roman"/>
              </w:rPr>
              <w:t>病理性应激的防治原则</w:t>
            </w:r>
          </w:p>
        </w:tc>
        <w:tc>
          <w:tcPr>
            <w:tcW w:w="1701" w:type="dxa"/>
            <w:noWrap w:val="0"/>
            <w:vAlign w:val="center"/>
          </w:tcPr>
          <w:p>
            <w:pPr>
              <w:spacing w:after="120" w:line="360" w:lineRule="auto"/>
              <w:jc w:val="center"/>
              <w:rPr>
                <w:rFonts w:hint="eastAsia" w:ascii="Times New Roman" w:hAnsi="Times New Roman" w:eastAsia="宋体" w:cs="Times New Roman"/>
              </w:rPr>
            </w:pPr>
            <w:r>
              <w:rPr>
                <w:rFonts w:hint="eastAsia" w:ascii="Times New Roman" w:hAnsi="Times New Roman" w:eastAsia="宋体" w:cs="Times New Roman"/>
              </w:rPr>
              <w:t>增强对国家和政府的认同感</w:t>
            </w:r>
          </w:p>
        </w:tc>
        <w:tc>
          <w:tcPr>
            <w:tcW w:w="2126" w:type="dxa"/>
            <w:noWrap w:val="0"/>
            <w:vAlign w:val="center"/>
          </w:tcPr>
          <w:p>
            <w:pPr>
              <w:spacing w:after="120" w:line="360" w:lineRule="auto"/>
              <w:jc w:val="center"/>
              <w:rPr>
                <w:rFonts w:hint="eastAsia"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959" w:type="dxa"/>
            <w:noWrap w:val="0"/>
            <w:vAlign w:val="center"/>
          </w:tcPr>
          <w:p>
            <w:pPr>
              <w:spacing w:after="120" w:line="360" w:lineRule="auto"/>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w:t>
            </w:r>
          </w:p>
        </w:tc>
        <w:tc>
          <w:tcPr>
            <w:tcW w:w="2410" w:type="dxa"/>
            <w:noWrap w:val="0"/>
            <w:vAlign w:val="center"/>
          </w:tcPr>
          <w:p>
            <w:pPr>
              <w:spacing w:after="120" w:line="36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PBL案例</w:t>
            </w:r>
          </w:p>
        </w:tc>
        <w:tc>
          <w:tcPr>
            <w:tcW w:w="1559" w:type="dxa"/>
            <w:noWrap w:val="0"/>
            <w:vAlign w:val="center"/>
          </w:tcPr>
          <w:p>
            <w:pPr>
              <w:spacing w:after="120" w:line="36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甲低的流行病学</w:t>
            </w:r>
          </w:p>
        </w:tc>
        <w:tc>
          <w:tcPr>
            <w:tcW w:w="1701" w:type="dxa"/>
            <w:noWrap w:val="0"/>
            <w:vAlign w:val="center"/>
          </w:tcPr>
          <w:p>
            <w:pPr>
              <w:spacing w:after="120" w:line="360" w:lineRule="auto"/>
              <w:jc w:val="center"/>
              <w:rPr>
                <w:rFonts w:hint="eastAsia" w:ascii="Times New Roman" w:hAnsi="Times New Roman" w:eastAsia="宋体" w:cs="Times New Roman"/>
              </w:rPr>
            </w:pPr>
          </w:p>
        </w:tc>
        <w:tc>
          <w:tcPr>
            <w:tcW w:w="2126" w:type="dxa"/>
            <w:noWrap w:val="0"/>
            <w:vAlign w:val="center"/>
          </w:tcPr>
          <w:p>
            <w:pPr>
              <w:spacing w:after="120" w:line="360" w:lineRule="auto"/>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预防的观点</w:t>
            </w:r>
          </w:p>
        </w:tc>
      </w:tr>
    </w:tbl>
    <w:p>
      <w:pPr>
        <w:spacing w:line="288" w:lineRule="auto"/>
        <w:rPr>
          <w:rFonts w:hint="eastAsia"/>
          <w:b/>
        </w:rPr>
      </w:pPr>
    </w:p>
    <w:p>
      <w:pPr>
        <w:spacing w:line="288" w:lineRule="auto"/>
        <w:rPr>
          <w:rFonts w:hint="eastAsia"/>
          <w:b/>
        </w:rPr>
      </w:pPr>
    </w:p>
    <w:p>
      <w:pPr>
        <w:spacing w:line="288" w:lineRule="auto"/>
        <w:rPr>
          <w:b/>
        </w:rPr>
        <w:sectPr>
          <w:pgSz w:w="11906" w:h="16838"/>
          <w:pgMar w:top="1440" w:right="1797" w:bottom="1440" w:left="1797" w:header="851" w:footer="992" w:gutter="0"/>
          <w:cols w:space="720" w:num="1"/>
          <w:docGrid w:type="lines" w:linePitch="312" w:charSpace="0"/>
        </w:sectPr>
      </w:pPr>
    </w:p>
    <w:p>
      <w:pPr>
        <w:spacing w:line="288" w:lineRule="auto"/>
        <w:rPr>
          <w:b/>
        </w:rPr>
      </w:pPr>
      <w:r>
        <w:rPr>
          <w:rFonts w:hint="eastAsia"/>
          <w:b/>
        </w:rPr>
        <w:t>附表3：课程学科学时回归表（整合课程的需要填写）</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544"/>
        <w:gridCol w:w="1984"/>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26" w:type="dxa"/>
            <w:noWrap w:val="0"/>
            <w:vAlign w:val="center"/>
          </w:tcPr>
          <w:p>
            <w:pPr>
              <w:spacing w:line="288" w:lineRule="auto"/>
              <w:jc w:val="center"/>
              <w:rPr>
                <w:b/>
              </w:rPr>
            </w:pPr>
            <w:r>
              <w:rPr>
                <w:rFonts w:hint="eastAsia"/>
                <w:b/>
              </w:rPr>
              <w:t>序号</w:t>
            </w:r>
          </w:p>
        </w:tc>
        <w:tc>
          <w:tcPr>
            <w:tcW w:w="3544" w:type="dxa"/>
            <w:noWrap w:val="0"/>
            <w:vAlign w:val="center"/>
          </w:tcPr>
          <w:p>
            <w:pPr>
              <w:spacing w:line="288" w:lineRule="auto"/>
              <w:jc w:val="center"/>
              <w:rPr>
                <w:b/>
              </w:rPr>
            </w:pPr>
            <w:r>
              <w:rPr>
                <w:rFonts w:hint="eastAsia"/>
                <w:b/>
              </w:rPr>
              <w:t>学习内容</w:t>
            </w:r>
          </w:p>
        </w:tc>
        <w:tc>
          <w:tcPr>
            <w:tcW w:w="1984" w:type="dxa"/>
            <w:noWrap w:val="0"/>
            <w:vAlign w:val="center"/>
          </w:tcPr>
          <w:p>
            <w:pPr>
              <w:spacing w:line="288" w:lineRule="auto"/>
              <w:jc w:val="center"/>
              <w:rPr>
                <w:rFonts w:ascii="Times New Roman" w:hAnsi="Times New Roman" w:eastAsia="宋体" w:cs="Times New Roman"/>
                <w:b/>
                <w:kern w:val="2"/>
                <w:sz w:val="21"/>
                <w:szCs w:val="24"/>
                <w:lang w:val="en-US" w:eastAsia="zh-CN" w:bidi="ar-SA"/>
              </w:rPr>
            </w:pPr>
            <w:r>
              <w:rPr>
                <w:rFonts w:hint="eastAsia"/>
                <w:b/>
              </w:rPr>
              <w:t>药理</w:t>
            </w:r>
          </w:p>
        </w:tc>
        <w:tc>
          <w:tcPr>
            <w:tcW w:w="1701" w:type="dxa"/>
            <w:noWrap w:val="0"/>
            <w:vAlign w:val="center"/>
          </w:tcPr>
          <w:p>
            <w:pPr>
              <w:spacing w:line="288" w:lineRule="auto"/>
              <w:jc w:val="center"/>
              <w:rPr>
                <w:rFonts w:ascii="Times New Roman" w:hAnsi="Times New Roman" w:eastAsia="宋体" w:cs="Times New Roman"/>
                <w:b/>
                <w:kern w:val="2"/>
                <w:sz w:val="21"/>
                <w:szCs w:val="24"/>
                <w:lang w:val="en-US" w:eastAsia="zh-CN" w:bidi="ar-SA"/>
              </w:rPr>
            </w:pPr>
            <w:r>
              <w:rPr>
                <w:rFonts w:hint="eastAsia"/>
                <w:b/>
              </w:rPr>
              <w:t>病理生理</w:t>
            </w:r>
          </w:p>
        </w:tc>
        <w:tc>
          <w:tcPr>
            <w:tcW w:w="1843" w:type="dxa"/>
            <w:noWrap w:val="0"/>
            <w:vAlign w:val="center"/>
          </w:tcPr>
          <w:p>
            <w:pPr>
              <w:spacing w:line="288" w:lineRule="auto"/>
              <w:jc w:val="center"/>
              <w:rPr>
                <w:rFonts w:ascii="Times New Roman" w:hAnsi="Times New Roman" w:eastAsia="宋体" w:cs="Times New Roman"/>
                <w:b/>
                <w:kern w:val="2"/>
                <w:sz w:val="21"/>
                <w:szCs w:val="24"/>
                <w:lang w:val="en-US" w:eastAsia="zh-CN" w:bidi="ar-SA"/>
              </w:rPr>
            </w:pPr>
            <w:r>
              <w:rPr>
                <w:rFonts w:hint="eastAsia"/>
                <w:b/>
              </w:rPr>
              <w:t>病理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526" w:type="dxa"/>
            <w:noWrap w:val="0"/>
            <w:vAlign w:val="center"/>
          </w:tcPr>
          <w:p>
            <w:pPr>
              <w:spacing w:after="120" w:line="360" w:lineRule="auto"/>
              <w:jc w:val="center"/>
              <w:rPr>
                <w:rFonts w:hint="eastAsia"/>
              </w:rPr>
            </w:pPr>
            <w:r>
              <w:rPr>
                <w:rFonts w:hint="eastAsia"/>
              </w:rPr>
              <w:t>1</w:t>
            </w:r>
          </w:p>
        </w:tc>
        <w:tc>
          <w:tcPr>
            <w:tcW w:w="3544" w:type="dxa"/>
            <w:noWrap w:val="0"/>
            <w:vAlign w:val="center"/>
          </w:tcPr>
          <w:p>
            <w:pPr>
              <w:spacing w:after="120" w:line="360" w:lineRule="auto"/>
              <w:jc w:val="center"/>
              <w:rPr>
                <w:rFonts w:hint="eastAsia"/>
              </w:rPr>
            </w:pPr>
            <w:r>
              <w:rPr>
                <w:rFonts w:hint="eastAsia"/>
              </w:rPr>
              <w:t>内分泌绪论</w:t>
            </w:r>
          </w:p>
        </w:tc>
        <w:tc>
          <w:tcPr>
            <w:tcW w:w="1984"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p>
        </w:tc>
        <w:tc>
          <w:tcPr>
            <w:tcW w:w="1701"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p>
        </w:tc>
        <w:tc>
          <w:tcPr>
            <w:tcW w:w="1843"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26" w:type="dxa"/>
            <w:noWrap w:val="0"/>
            <w:vAlign w:val="center"/>
          </w:tcPr>
          <w:p>
            <w:pPr>
              <w:spacing w:after="120" w:line="360" w:lineRule="auto"/>
              <w:jc w:val="center"/>
              <w:rPr>
                <w:rFonts w:hint="eastAsia"/>
              </w:rPr>
            </w:pPr>
            <w:r>
              <w:rPr>
                <w:rFonts w:hint="eastAsia"/>
              </w:rPr>
              <w:t>2</w:t>
            </w:r>
          </w:p>
        </w:tc>
        <w:tc>
          <w:tcPr>
            <w:tcW w:w="3544" w:type="dxa"/>
            <w:noWrap w:val="0"/>
            <w:vAlign w:val="center"/>
          </w:tcPr>
          <w:p>
            <w:pPr>
              <w:spacing w:after="120" w:line="360" w:lineRule="auto"/>
              <w:jc w:val="center"/>
              <w:rPr>
                <w:rFonts w:hint="eastAsia"/>
              </w:rPr>
            </w:pPr>
            <w:r>
              <w:rPr>
                <w:rFonts w:hint="eastAsia"/>
              </w:rPr>
              <w:t>应激</w:t>
            </w:r>
          </w:p>
        </w:tc>
        <w:tc>
          <w:tcPr>
            <w:tcW w:w="1984"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p>
        </w:tc>
        <w:tc>
          <w:tcPr>
            <w:tcW w:w="1701"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r>
              <w:rPr>
                <w:rFonts w:hint="eastAsia"/>
              </w:rPr>
              <w:t>3</w:t>
            </w:r>
          </w:p>
        </w:tc>
        <w:tc>
          <w:tcPr>
            <w:tcW w:w="1843"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526" w:type="dxa"/>
            <w:noWrap w:val="0"/>
            <w:vAlign w:val="center"/>
          </w:tcPr>
          <w:p>
            <w:pPr>
              <w:spacing w:after="120" w:line="360" w:lineRule="auto"/>
              <w:jc w:val="center"/>
              <w:rPr>
                <w:rFonts w:hint="eastAsia"/>
              </w:rPr>
            </w:pPr>
            <w:r>
              <w:rPr>
                <w:rFonts w:hint="eastAsia"/>
              </w:rPr>
              <w:t>3</w:t>
            </w:r>
          </w:p>
        </w:tc>
        <w:tc>
          <w:tcPr>
            <w:tcW w:w="3544" w:type="dxa"/>
            <w:noWrap w:val="0"/>
            <w:vAlign w:val="center"/>
          </w:tcPr>
          <w:p>
            <w:pPr>
              <w:spacing w:after="120" w:line="360" w:lineRule="auto"/>
              <w:jc w:val="center"/>
              <w:rPr>
                <w:rFonts w:hint="eastAsia"/>
              </w:rPr>
            </w:pPr>
            <w:r>
              <w:rPr>
                <w:rFonts w:hint="eastAsia"/>
              </w:rPr>
              <w:t>下丘脑与垂体</w:t>
            </w:r>
          </w:p>
        </w:tc>
        <w:tc>
          <w:tcPr>
            <w:tcW w:w="1984"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p>
        </w:tc>
        <w:tc>
          <w:tcPr>
            <w:tcW w:w="1701"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p>
        </w:tc>
        <w:tc>
          <w:tcPr>
            <w:tcW w:w="1843"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526" w:type="dxa"/>
            <w:noWrap w:val="0"/>
            <w:vAlign w:val="center"/>
          </w:tcPr>
          <w:p>
            <w:pPr>
              <w:spacing w:after="120" w:line="360" w:lineRule="auto"/>
              <w:jc w:val="center"/>
              <w:rPr>
                <w:rFonts w:hint="eastAsia"/>
              </w:rPr>
            </w:pPr>
            <w:r>
              <w:rPr>
                <w:rFonts w:hint="eastAsia"/>
              </w:rPr>
              <w:t>4</w:t>
            </w:r>
          </w:p>
        </w:tc>
        <w:tc>
          <w:tcPr>
            <w:tcW w:w="3544" w:type="dxa"/>
            <w:noWrap w:val="0"/>
            <w:vAlign w:val="center"/>
          </w:tcPr>
          <w:p>
            <w:pPr>
              <w:spacing w:after="120" w:line="360" w:lineRule="auto"/>
              <w:jc w:val="center"/>
              <w:rPr>
                <w:rFonts w:hint="eastAsia"/>
              </w:rPr>
            </w:pPr>
            <w:r>
              <w:rPr>
                <w:rFonts w:hint="eastAsia"/>
              </w:rPr>
              <w:t>甲状腺与甲状旁腺</w:t>
            </w:r>
          </w:p>
        </w:tc>
        <w:tc>
          <w:tcPr>
            <w:tcW w:w="1984"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r>
              <w:rPr>
                <w:rFonts w:hint="eastAsia"/>
                <w:lang w:val="en-US" w:eastAsia="zh-CN"/>
              </w:rPr>
              <w:t>3</w:t>
            </w:r>
          </w:p>
        </w:tc>
        <w:tc>
          <w:tcPr>
            <w:tcW w:w="1701"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p>
        </w:tc>
        <w:tc>
          <w:tcPr>
            <w:tcW w:w="1843" w:type="dxa"/>
            <w:noWrap w:val="0"/>
            <w:vAlign w:val="center"/>
          </w:tcPr>
          <w:p>
            <w:pPr>
              <w:spacing w:after="120" w:line="360" w:lineRule="auto"/>
              <w:jc w:val="center"/>
              <w:rPr>
                <w:rFonts w:hint="default" w:ascii="Times New Roman" w:hAnsi="Times New Roman" w:eastAsia="宋体" w:cs="Times New Roman"/>
                <w:kern w:val="2"/>
                <w:sz w:val="21"/>
                <w:szCs w:val="24"/>
                <w:lang w:val="en-US" w:eastAsia="zh-CN" w:bidi="ar-SA"/>
              </w:rPr>
            </w:pPr>
            <w:r>
              <w:rPr>
                <w:rFonts w:hint="eastAsia"/>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526" w:type="dxa"/>
            <w:noWrap w:val="0"/>
            <w:vAlign w:val="center"/>
          </w:tcPr>
          <w:p>
            <w:pPr>
              <w:spacing w:after="120" w:line="360" w:lineRule="auto"/>
              <w:jc w:val="center"/>
              <w:rPr>
                <w:rFonts w:hint="eastAsia"/>
              </w:rPr>
            </w:pPr>
            <w:r>
              <w:rPr>
                <w:rFonts w:hint="eastAsia"/>
              </w:rPr>
              <w:t>5</w:t>
            </w:r>
          </w:p>
        </w:tc>
        <w:tc>
          <w:tcPr>
            <w:tcW w:w="3544" w:type="dxa"/>
            <w:noWrap w:val="0"/>
            <w:vAlign w:val="center"/>
          </w:tcPr>
          <w:p>
            <w:pPr>
              <w:spacing w:after="120" w:line="360" w:lineRule="auto"/>
              <w:jc w:val="center"/>
              <w:rPr>
                <w:rFonts w:hint="eastAsia"/>
              </w:rPr>
            </w:pPr>
            <w:r>
              <w:rPr>
                <w:rFonts w:hint="eastAsia"/>
              </w:rPr>
              <w:t>肾上腺</w:t>
            </w:r>
          </w:p>
        </w:tc>
        <w:tc>
          <w:tcPr>
            <w:tcW w:w="1984"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r>
              <w:rPr>
                <w:rFonts w:hint="eastAsia"/>
              </w:rPr>
              <w:t>6</w:t>
            </w:r>
          </w:p>
        </w:tc>
        <w:tc>
          <w:tcPr>
            <w:tcW w:w="1701"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p>
        </w:tc>
        <w:tc>
          <w:tcPr>
            <w:tcW w:w="1843"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526" w:type="dxa"/>
            <w:noWrap w:val="0"/>
            <w:vAlign w:val="center"/>
          </w:tcPr>
          <w:p>
            <w:pPr>
              <w:spacing w:after="120" w:line="360" w:lineRule="auto"/>
              <w:jc w:val="center"/>
              <w:rPr>
                <w:rFonts w:hint="eastAsia"/>
              </w:rPr>
            </w:pPr>
            <w:r>
              <w:rPr>
                <w:rFonts w:hint="eastAsia"/>
              </w:rPr>
              <w:t>6</w:t>
            </w:r>
          </w:p>
        </w:tc>
        <w:tc>
          <w:tcPr>
            <w:tcW w:w="3544" w:type="dxa"/>
            <w:noWrap w:val="0"/>
            <w:vAlign w:val="center"/>
          </w:tcPr>
          <w:p>
            <w:pPr>
              <w:spacing w:after="120" w:line="360" w:lineRule="auto"/>
              <w:jc w:val="center"/>
              <w:rPr>
                <w:rFonts w:hint="eastAsia"/>
              </w:rPr>
            </w:pPr>
            <w:r>
              <w:rPr>
                <w:rFonts w:hint="eastAsia"/>
              </w:rPr>
              <w:t>胰腺</w:t>
            </w:r>
          </w:p>
        </w:tc>
        <w:tc>
          <w:tcPr>
            <w:tcW w:w="1984"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r>
              <w:rPr>
                <w:rFonts w:hint="eastAsia"/>
              </w:rPr>
              <w:t>2</w:t>
            </w:r>
          </w:p>
        </w:tc>
        <w:tc>
          <w:tcPr>
            <w:tcW w:w="1701"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p>
        </w:tc>
        <w:tc>
          <w:tcPr>
            <w:tcW w:w="1843"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526" w:type="dxa"/>
            <w:noWrap w:val="0"/>
            <w:vAlign w:val="center"/>
          </w:tcPr>
          <w:p>
            <w:pPr>
              <w:spacing w:after="120" w:line="360" w:lineRule="auto"/>
              <w:jc w:val="center"/>
              <w:rPr>
                <w:rFonts w:hint="eastAsia"/>
              </w:rPr>
            </w:pPr>
            <w:r>
              <w:rPr>
                <w:rFonts w:hint="eastAsia"/>
              </w:rPr>
              <w:t>7</w:t>
            </w:r>
          </w:p>
        </w:tc>
        <w:tc>
          <w:tcPr>
            <w:tcW w:w="3544" w:type="dxa"/>
            <w:noWrap w:val="0"/>
            <w:vAlign w:val="center"/>
          </w:tcPr>
          <w:p>
            <w:pPr>
              <w:spacing w:after="120" w:line="360" w:lineRule="auto"/>
              <w:jc w:val="center"/>
              <w:rPr>
                <w:rFonts w:hint="eastAsia"/>
              </w:rPr>
            </w:pPr>
            <w:r>
              <w:rPr>
                <w:rFonts w:hint="eastAsia"/>
              </w:rPr>
              <w:t>反馈</w:t>
            </w:r>
          </w:p>
        </w:tc>
        <w:tc>
          <w:tcPr>
            <w:tcW w:w="1984"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r>
              <w:rPr>
                <w:rFonts w:hint="eastAsia"/>
              </w:rPr>
              <w:t>1</w:t>
            </w:r>
          </w:p>
        </w:tc>
        <w:tc>
          <w:tcPr>
            <w:tcW w:w="1701"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p>
        </w:tc>
        <w:tc>
          <w:tcPr>
            <w:tcW w:w="1843"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526"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r>
              <w:rPr>
                <w:rFonts w:hint="eastAsia"/>
                <w:lang w:val="en-US" w:eastAsia="zh-CN"/>
              </w:rPr>
              <w:t>8</w:t>
            </w:r>
          </w:p>
        </w:tc>
        <w:tc>
          <w:tcPr>
            <w:tcW w:w="3544" w:type="dxa"/>
            <w:noWrap w:val="0"/>
            <w:vAlign w:val="center"/>
          </w:tcPr>
          <w:p>
            <w:pPr>
              <w:spacing w:after="120" w:line="360" w:lineRule="auto"/>
              <w:jc w:val="center"/>
              <w:rPr>
                <w:rFonts w:hint="eastAsia" w:ascii="Times New Roman" w:hAnsi="Times New Roman" w:eastAsia="宋体" w:cs="Times New Roman"/>
                <w:kern w:val="2"/>
                <w:sz w:val="21"/>
                <w:szCs w:val="24"/>
                <w:lang w:val="en-US" w:eastAsia="zh-CN" w:bidi="ar-SA"/>
              </w:rPr>
            </w:pPr>
            <w:r>
              <w:rPr>
                <w:rFonts w:hint="eastAsia"/>
              </w:rPr>
              <w:t>前沿进展（2学时）</w:t>
            </w:r>
          </w:p>
        </w:tc>
        <w:tc>
          <w:tcPr>
            <w:tcW w:w="5528" w:type="dxa"/>
            <w:gridSpan w:val="3"/>
            <w:noWrap w:val="0"/>
            <w:vAlign w:val="center"/>
          </w:tcPr>
          <w:p>
            <w:pPr>
              <w:spacing w:after="120" w:line="360" w:lineRule="auto"/>
              <w:jc w:val="cente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526" w:type="dxa"/>
            <w:noWrap w:val="0"/>
            <w:vAlign w:val="center"/>
          </w:tcPr>
          <w:p>
            <w:pPr>
              <w:spacing w:line="288" w:lineRule="auto"/>
              <w:jc w:val="center"/>
              <w:rPr>
                <w:rFonts w:hint="eastAsia" w:ascii="Times New Roman" w:hAnsi="Times New Roman" w:eastAsia="宋体" w:cs="Times New Roman"/>
                <w:b/>
                <w:kern w:val="2"/>
                <w:sz w:val="21"/>
                <w:szCs w:val="24"/>
                <w:lang w:val="en-US" w:eastAsia="zh-CN" w:bidi="ar-SA"/>
              </w:rPr>
            </w:pPr>
            <w:r>
              <w:rPr>
                <w:rFonts w:hint="eastAsia"/>
                <w:b/>
              </w:rPr>
              <w:t>各学科学时</w:t>
            </w:r>
          </w:p>
        </w:tc>
        <w:tc>
          <w:tcPr>
            <w:tcW w:w="3544" w:type="dxa"/>
            <w:noWrap w:val="0"/>
            <w:vAlign w:val="center"/>
          </w:tcPr>
          <w:p>
            <w:pPr>
              <w:spacing w:line="288" w:lineRule="auto"/>
              <w:jc w:val="center"/>
              <w:rPr>
                <w:rFonts w:hint="eastAsia" w:ascii="Times New Roman" w:hAnsi="Times New Roman" w:eastAsia="宋体" w:cs="Times New Roman"/>
                <w:b/>
                <w:kern w:val="2"/>
                <w:sz w:val="21"/>
                <w:szCs w:val="24"/>
                <w:lang w:val="en-US" w:eastAsia="zh-CN" w:bidi="ar-SA"/>
              </w:rPr>
            </w:pPr>
            <w:r>
              <w:rPr>
                <w:rFonts w:hint="eastAsia"/>
                <w:b/>
              </w:rPr>
              <w:t>总学时（  36  ）</w:t>
            </w:r>
          </w:p>
        </w:tc>
        <w:tc>
          <w:tcPr>
            <w:tcW w:w="1984" w:type="dxa"/>
            <w:noWrap w:val="0"/>
            <w:vAlign w:val="center"/>
          </w:tcPr>
          <w:p>
            <w:pPr>
              <w:spacing w:line="288" w:lineRule="auto"/>
              <w:jc w:val="center"/>
              <w:rPr>
                <w:rFonts w:hint="eastAsia" w:ascii="Times New Roman" w:hAnsi="Times New Roman" w:eastAsia="宋体" w:cs="Times New Roman"/>
                <w:b/>
                <w:kern w:val="2"/>
                <w:sz w:val="21"/>
                <w:szCs w:val="24"/>
                <w:lang w:val="en-US" w:eastAsia="zh-CN" w:bidi="ar-SA"/>
              </w:rPr>
            </w:pPr>
            <w:r>
              <w:rPr>
                <w:rFonts w:hint="eastAsia"/>
                <w:b/>
                <w:lang w:val="en-US" w:eastAsia="zh-CN"/>
              </w:rPr>
              <w:t>12</w:t>
            </w:r>
          </w:p>
        </w:tc>
        <w:tc>
          <w:tcPr>
            <w:tcW w:w="1701" w:type="dxa"/>
            <w:noWrap w:val="0"/>
            <w:vAlign w:val="center"/>
          </w:tcPr>
          <w:p>
            <w:pPr>
              <w:spacing w:line="288" w:lineRule="auto"/>
              <w:jc w:val="center"/>
              <w:rPr>
                <w:rFonts w:hint="eastAsia" w:ascii="Times New Roman" w:hAnsi="Times New Roman" w:eastAsia="宋体" w:cs="Times New Roman"/>
                <w:b/>
                <w:kern w:val="2"/>
                <w:sz w:val="21"/>
                <w:szCs w:val="24"/>
                <w:lang w:val="en-US" w:eastAsia="zh-CN" w:bidi="ar-SA"/>
              </w:rPr>
            </w:pPr>
            <w:r>
              <w:rPr>
                <w:rFonts w:hint="eastAsia"/>
                <w:b/>
                <w:lang w:val="en-US" w:eastAsia="zh-CN"/>
              </w:rPr>
              <w:t>3</w:t>
            </w:r>
          </w:p>
        </w:tc>
        <w:tc>
          <w:tcPr>
            <w:tcW w:w="1843" w:type="dxa"/>
            <w:noWrap w:val="0"/>
            <w:vAlign w:val="center"/>
          </w:tcPr>
          <w:p>
            <w:pPr>
              <w:spacing w:line="288" w:lineRule="auto"/>
              <w:jc w:val="center"/>
              <w:rPr>
                <w:rFonts w:hint="eastAsia" w:ascii="Times New Roman" w:hAnsi="Times New Roman" w:eastAsia="宋体" w:cs="Times New Roman"/>
                <w:b/>
                <w:kern w:val="2"/>
                <w:sz w:val="21"/>
                <w:szCs w:val="24"/>
                <w:lang w:val="en-US" w:eastAsia="zh-CN" w:bidi="ar-SA"/>
              </w:rPr>
            </w:pPr>
            <w:r>
              <w:rPr>
                <w:rFonts w:hint="eastAsia"/>
                <w:b/>
                <w:lang w:val="en-US" w:eastAsia="zh-CN"/>
              </w:rPr>
              <w:t>10</w:t>
            </w:r>
          </w:p>
        </w:tc>
      </w:tr>
    </w:tbl>
    <w:tbl>
      <w:tblPr>
        <w:tblStyle w:val="6"/>
        <w:tblpPr w:leftFromText="180" w:rightFromText="180" w:vertAnchor="text" w:tblpX="15506" w:tblpY="-212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0" w:hRule="atLeast"/>
        </w:trPr>
        <w:tc>
          <w:tcPr>
            <w:tcW w:w="664" w:type="dxa"/>
          </w:tcPr>
          <w:p>
            <w:pPr>
              <w:spacing w:line="288" w:lineRule="auto"/>
              <w:rPr>
                <w:rFonts w:hint="eastAsia"/>
                <w:b/>
                <w:vertAlign w:val="baseline"/>
              </w:rPr>
            </w:pPr>
          </w:p>
        </w:tc>
      </w:tr>
    </w:tbl>
    <w:p>
      <w:pPr>
        <w:spacing w:line="288" w:lineRule="auto"/>
        <w:rPr>
          <w:rFonts w:hint="eastAsia"/>
          <w:b/>
        </w:rPr>
      </w:pPr>
    </w:p>
    <w:sectPr>
      <w:pgSz w:w="16838" w:h="11906" w:orient="landscape"/>
      <w:pgMar w:top="1797" w:right="1440" w:bottom="1797" w:left="144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C8F178"/>
    <w:multiLevelType w:val="singleLevel"/>
    <w:tmpl w:val="BEC8F178"/>
    <w:lvl w:ilvl="0" w:tentative="0">
      <w:start w:val="1"/>
      <w:numFmt w:val="chineseCounting"/>
      <w:suff w:val="nothing"/>
      <w:lvlText w:val="%1、"/>
      <w:lvlJc w:val="left"/>
      <w:pPr>
        <w:ind w:left="420" w:firstLine="0"/>
      </w:pPr>
      <w:rPr>
        <w:rFonts w:hint="eastAsia"/>
      </w:rPr>
    </w:lvl>
  </w:abstractNum>
  <w:abstractNum w:abstractNumId="1">
    <w:nsid w:val="7A8B75EC"/>
    <w:multiLevelType w:val="multilevel"/>
    <w:tmpl w:val="7A8B75EC"/>
    <w:lvl w:ilvl="0" w:tentative="0">
      <w:start w:val="1"/>
      <w:numFmt w:val="decimal"/>
      <w:lvlText w:val="%1."/>
      <w:lvlJc w:val="left"/>
      <w:pPr>
        <w:ind w:left="700" w:hanging="360"/>
      </w:pPr>
      <w:rPr>
        <w:rFonts w:hint="eastAsia"/>
        <w:b/>
      </w:rPr>
    </w:lvl>
    <w:lvl w:ilvl="1" w:tentative="0">
      <w:start w:val="1"/>
      <w:numFmt w:val="lowerLetter"/>
      <w:lvlText w:val="%2)"/>
      <w:lvlJc w:val="left"/>
      <w:pPr>
        <w:ind w:left="1300" w:hanging="480"/>
      </w:pPr>
    </w:lvl>
    <w:lvl w:ilvl="2" w:tentative="0">
      <w:start w:val="1"/>
      <w:numFmt w:val="lowerRoman"/>
      <w:lvlText w:val="%3."/>
      <w:lvlJc w:val="right"/>
      <w:pPr>
        <w:ind w:left="1780" w:hanging="480"/>
      </w:pPr>
    </w:lvl>
    <w:lvl w:ilvl="3" w:tentative="0">
      <w:start w:val="1"/>
      <w:numFmt w:val="decimal"/>
      <w:lvlText w:val="%4."/>
      <w:lvlJc w:val="left"/>
      <w:pPr>
        <w:ind w:left="2260" w:hanging="480"/>
      </w:pPr>
    </w:lvl>
    <w:lvl w:ilvl="4" w:tentative="0">
      <w:start w:val="1"/>
      <w:numFmt w:val="lowerLetter"/>
      <w:lvlText w:val="%5)"/>
      <w:lvlJc w:val="left"/>
      <w:pPr>
        <w:ind w:left="2740" w:hanging="480"/>
      </w:pPr>
    </w:lvl>
    <w:lvl w:ilvl="5" w:tentative="0">
      <w:start w:val="1"/>
      <w:numFmt w:val="lowerRoman"/>
      <w:lvlText w:val="%6."/>
      <w:lvlJc w:val="right"/>
      <w:pPr>
        <w:ind w:left="3220" w:hanging="480"/>
      </w:pPr>
    </w:lvl>
    <w:lvl w:ilvl="6" w:tentative="0">
      <w:start w:val="1"/>
      <w:numFmt w:val="decimal"/>
      <w:lvlText w:val="%7."/>
      <w:lvlJc w:val="left"/>
      <w:pPr>
        <w:ind w:left="3700" w:hanging="480"/>
      </w:pPr>
    </w:lvl>
    <w:lvl w:ilvl="7" w:tentative="0">
      <w:start w:val="1"/>
      <w:numFmt w:val="lowerLetter"/>
      <w:lvlText w:val="%8)"/>
      <w:lvlJc w:val="left"/>
      <w:pPr>
        <w:ind w:left="4180" w:hanging="480"/>
      </w:pPr>
    </w:lvl>
    <w:lvl w:ilvl="8" w:tentative="0">
      <w:start w:val="1"/>
      <w:numFmt w:val="lowerRoman"/>
      <w:lvlText w:val="%9."/>
      <w:lvlJc w:val="right"/>
      <w:pPr>
        <w:ind w:left="466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3OTJjZTNiMjZiMmFiMmNkMzc4ZTQ0NGExOGFjODcifQ=="/>
  </w:docVars>
  <w:rsids>
    <w:rsidRoot w:val="00CC301D"/>
    <w:rsid w:val="00034406"/>
    <w:rsid w:val="000D5E4E"/>
    <w:rsid w:val="000E7912"/>
    <w:rsid w:val="00127915"/>
    <w:rsid w:val="00144562"/>
    <w:rsid w:val="001539C3"/>
    <w:rsid w:val="001610BF"/>
    <w:rsid w:val="001B10CC"/>
    <w:rsid w:val="001C7FA6"/>
    <w:rsid w:val="001F6D56"/>
    <w:rsid w:val="00282131"/>
    <w:rsid w:val="0028620A"/>
    <w:rsid w:val="002928BA"/>
    <w:rsid w:val="00346CE8"/>
    <w:rsid w:val="003A2E55"/>
    <w:rsid w:val="004637D4"/>
    <w:rsid w:val="004901C4"/>
    <w:rsid w:val="004F37E1"/>
    <w:rsid w:val="00531B20"/>
    <w:rsid w:val="005C0527"/>
    <w:rsid w:val="00663BE9"/>
    <w:rsid w:val="006F046B"/>
    <w:rsid w:val="00765DDB"/>
    <w:rsid w:val="00787CF9"/>
    <w:rsid w:val="008043E8"/>
    <w:rsid w:val="00836128"/>
    <w:rsid w:val="009616AE"/>
    <w:rsid w:val="0096220C"/>
    <w:rsid w:val="009C4347"/>
    <w:rsid w:val="009D753B"/>
    <w:rsid w:val="00A14F9D"/>
    <w:rsid w:val="00A51F53"/>
    <w:rsid w:val="00AF47A8"/>
    <w:rsid w:val="00B25254"/>
    <w:rsid w:val="00BD6BE9"/>
    <w:rsid w:val="00C06114"/>
    <w:rsid w:val="00C27775"/>
    <w:rsid w:val="00C55CEE"/>
    <w:rsid w:val="00C62E59"/>
    <w:rsid w:val="00CC301D"/>
    <w:rsid w:val="00CE27A7"/>
    <w:rsid w:val="00D1782D"/>
    <w:rsid w:val="00DB2711"/>
    <w:rsid w:val="00DB48BA"/>
    <w:rsid w:val="00DC2D05"/>
    <w:rsid w:val="00DE1E48"/>
    <w:rsid w:val="00E27018"/>
    <w:rsid w:val="00E27912"/>
    <w:rsid w:val="00E76387"/>
    <w:rsid w:val="00F00973"/>
    <w:rsid w:val="00F07974"/>
    <w:rsid w:val="00F219BF"/>
    <w:rsid w:val="00F219DF"/>
    <w:rsid w:val="00F2740C"/>
    <w:rsid w:val="00F558CE"/>
    <w:rsid w:val="00F9626B"/>
    <w:rsid w:val="016A0E58"/>
    <w:rsid w:val="03FA6D38"/>
    <w:rsid w:val="0C653A24"/>
    <w:rsid w:val="0E1806AD"/>
    <w:rsid w:val="12691700"/>
    <w:rsid w:val="12E23C9C"/>
    <w:rsid w:val="18316649"/>
    <w:rsid w:val="1C2A7637"/>
    <w:rsid w:val="27124CCB"/>
    <w:rsid w:val="2A642B42"/>
    <w:rsid w:val="348C6C89"/>
    <w:rsid w:val="38F41956"/>
    <w:rsid w:val="3A263172"/>
    <w:rsid w:val="41E079FC"/>
    <w:rsid w:val="4E005209"/>
    <w:rsid w:val="5EC52588"/>
    <w:rsid w:val="64481CD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autoRedefine/>
    <w:qFormat/>
    <w:uiPriority w:val="72"/>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乐陵市卓诚计算机公司</Company>
  <Pages>5</Pages>
  <Words>246</Words>
  <Characters>1408</Characters>
  <Lines>11</Lines>
  <Paragraphs>3</Paragraphs>
  <TotalTime>4</TotalTime>
  <ScaleCrop>false</ScaleCrop>
  <LinksUpToDate>false</LinksUpToDate>
  <CharactersWithSpaces>1651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2005-01-12T06:24:00Z</dcterms:created>
  <dc:creator>ZC User</dc:creator>
  <cp:lastModifiedBy>乐天</cp:lastModifiedBy>
  <cp:lastPrinted>2019-04-25T07:47:00Z</cp:lastPrinted>
  <dcterms:modified xsi:type="dcterms:W3CDTF">2024-04-24T09:27:09Z</dcterms:modified>
  <dc:title>基 础 医 学 专 业 课 程 介 绍 </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1226D85728CA4E31AFFF5E339A69BEA9_13</vt:lpwstr>
  </property>
</Properties>
</file>