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D8120" w14:textId="77777777" w:rsidR="00491E62" w:rsidRDefault="00491E62">
      <w:pPr>
        <w:autoSpaceDE w:val="0"/>
        <w:autoSpaceDN w:val="0"/>
        <w:adjustRightInd w:val="0"/>
        <w:jc w:val="center"/>
        <w:rPr>
          <w:rFonts w:ascii="Times New Roman" w:eastAsia="方正小标宋简体" w:hAnsi="Times New Roman" w:cs="方正小标宋简体" w:hint="eastAsia"/>
          <w:kern w:val="0"/>
          <w:sz w:val="48"/>
          <w:szCs w:val="48"/>
          <w:lang w:val="zh-CN"/>
        </w:rPr>
      </w:pPr>
    </w:p>
    <w:p w14:paraId="631EFCDA" w14:textId="77777777" w:rsidR="00491E62" w:rsidRDefault="00491E62">
      <w:pPr>
        <w:autoSpaceDE w:val="0"/>
        <w:autoSpaceDN w:val="0"/>
        <w:adjustRightInd w:val="0"/>
        <w:jc w:val="center"/>
        <w:rPr>
          <w:rFonts w:ascii="Times New Roman" w:eastAsia="方正小标宋简体" w:hAnsi="Times New Roman" w:cs="方正小标宋简体"/>
          <w:kern w:val="0"/>
          <w:sz w:val="48"/>
          <w:szCs w:val="48"/>
          <w:lang w:val="zh-CN"/>
        </w:rPr>
      </w:pPr>
    </w:p>
    <w:p w14:paraId="7B14D480" w14:textId="77777777" w:rsidR="00491E62" w:rsidRDefault="00491E62">
      <w:pPr>
        <w:autoSpaceDE w:val="0"/>
        <w:autoSpaceDN w:val="0"/>
        <w:adjustRightInd w:val="0"/>
        <w:jc w:val="center"/>
        <w:rPr>
          <w:rFonts w:ascii="Times New Roman" w:eastAsia="方正小标宋简体" w:hAnsi="Times New Roman" w:cs="方正小标宋简体"/>
          <w:kern w:val="0"/>
          <w:sz w:val="48"/>
          <w:szCs w:val="48"/>
          <w:lang w:val="zh-CN"/>
        </w:rPr>
      </w:pPr>
    </w:p>
    <w:p w14:paraId="2F69287E" w14:textId="77777777" w:rsidR="00491E62" w:rsidRDefault="00491E62">
      <w:pPr>
        <w:autoSpaceDE w:val="0"/>
        <w:autoSpaceDN w:val="0"/>
        <w:adjustRightInd w:val="0"/>
        <w:jc w:val="center"/>
        <w:rPr>
          <w:rFonts w:ascii="Times New Roman" w:eastAsia="方正小标宋简体" w:hAnsi="Times New Roman" w:cs="方正小标宋简体"/>
          <w:kern w:val="0"/>
          <w:sz w:val="48"/>
          <w:szCs w:val="48"/>
          <w:lang w:val="zh-CN"/>
        </w:rPr>
      </w:pPr>
    </w:p>
    <w:p w14:paraId="7F5CF95E" w14:textId="77777777" w:rsidR="00491E62" w:rsidRDefault="00491E62">
      <w:pPr>
        <w:autoSpaceDE w:val="0"/>
        <w:autoSpaceDN w:val="0"/>
        <w:adjustRightInd w:val="0"/>
        <w:jc w:val="center"/>
        <w:rPr>
          <w:rFonts w:ascii="Times New Roman" w:eastAsia="方正小标宋简体" w:hAnsi="Times New Roman" w:cs="方正小标宋简体"/>
          <w:kern w:val="0"/>
          <w:sz w:val="48"/>
          <w:szCs w:val="48"/>
          <w:lang w:val="zh-CN"/>
        </w:rPr>
      </w:pPr>
    </w:p>
    <w:p w14:paraId="6E8528A6" w14:textId="77777777" w:rsidR="00491E62" w:rsidRDefault="00491E62">
      <w:pPr>
        <w:autoSpaceDE w:val="0"/>
        <w:autoSpaceDN w:val="0"/>
        <w:adjustRightInd w:val="0"/>
        <w:jc w:val="center"/>
        <w:rPr>
          <w:rFonts w:ascii="Times New Roman" w:eastAsia="方正小标宋简体" w:hAnsi="Times New Roman" w:cs="方正小标宋简体"/>
          <w:kern w:val="0"/>
          <w:sz w:val="48"/>
          <w:szCs w:val="48"/>
          <w:lang w:val="zh-CN"/>
        </w:rPr>
      </w:pPr>
    </w:p>
    <w:p w14:paraId="5EB6C05F" w14:textId="77777777" w:rsidR="00491E62" w:rsidRDefault="00491E62">
      <w:pPr>
        <w:autoSpaceDE w:val="0"/>
        <w:autoSpaceDN w:val="0"/>
        <w:adjustRightInd w:val="0"/>
        <w:jc w:val="center"/>
        <w:rPr>
          <w:rFonts w:ascii="Times New Roman" w:eastAsia="方正小标宋简体" w:hAnsi="Times New Roman" w:cs="方正小标宋简体"/>
          <w:kern w:val="0"/>
          <w:sz w:val="48"/>
          <w:szCs w:val="48"/>
          <w:lang w:val="zh-CN"/>
        </w:rPr>
      </w:pPr>
    </w:p>
    <w:p w14:paraId="101BD2DA" w14:textId="77777777" w:rsidR="00491E62" w:rsidRDefault="00491E62">
      <w:pPr>
        <w:autoSpaceDE w:val="0"/>
        <w:autoSpaceDN w:val="0"/>
        <w:adjustRightInd w:val="0"/>
        <w:jc w:val="center"/>
        <w:rPr>
          <w:rFonts w:ascii="Times New Roman" w:eastAsia="方正小标宋简体" w:hAnsi="Times New Roman" w:cs="方正小标宋简体"/>
          <w:kern w:val="0"/>
          <w:sz w:val="48"/>
          <w:szCs w:val="48"/>
          <w:lang w:val="zh-CN"/>
        </w:rPr>
      </w:pPr>
    </w:p>
    <w:p w14:paraId="1B486D15" w14:textId="77777777" w:rsidR="00491E62" w:rsidRDefault="00330332">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天津医科大学</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14:paraId="695F5E52" w14:textId="77777777" w:rsidR="00491E62" w:rsidRDefault="00491E62">
      <w:pPr>
        <w:autoSpaceDE w:val="0"/>
        <w:autoSpaceDN w:val="0"/>
        <w:adjustRightInd w:val="0"/>
        <w:spacing w:line="580" w:lineRule="exact"/>
        <w:jc w:val="center"/>
        <w:rPr>
          <w:rFonts w:ascii="Times New Roman" w:eastAsia="黑体" w:hAnsi="Times New Roman" w:cs="黑体"/>
          <w:sz w:val="30"/>
          <w:szCs w:val="30"/>
        </w:rPr>
      </w:pPr>
    </w:p>
    <w:p w14:paraId="1584C8EF" w14:textId="77777777" w:rsidR="00491E62" w:rsidRDefault="00491E62">
      <w:pPr>
        <w:autoSpaceDE w:val="0"/>
        <w:autoSpaceDN w:val="0"/>
        <w:adjustRightInd w:val="0"/>
        <w:spacing w:line="580" w:lineRule="exact"/>
        <w:jc w:val="center"/>
        <w:rPr>
          <w:rFonts w:ascii="Times New Roman" w:eastAsia="黑体" w:hAnsi="Times New Roman" w:cs="黑体"/>
          <w:sz w:val="30"/>
          <w:szCs w:val="30"/>
        </w:rPr>
      </w:pPr>
    </w:p>
    <w:p w14:paraId="1061FA8D" w14:textId="77777777" w:rsidR="00491E62" w:rsidRDefault="00491E62">
      <w:pPr>
        <w:autoSpaceDE w:val="0"/>
        <w:autoSpaceDN w:val="0"/>
        <w:adjustRightInd w:val="0"/>
        <w:spacing w:line="580" w:lineRule="exact"/>
        <w:jc w:val="center"/>
        <w:rPr>
          <w:rFonts w:ascii="Times New Roman" w:eastAsia="黑体" w:hAnsi="Times New Roman" w:cs="黑体"/>
          <w:sz w:val="30"/>
          <w:szCs w:val="30"/>
        </w:rPr>
      </w:pPr>
    </w:p>
    <w:p w14:paraId="3B385B2F" w14:textId="77777777" w:rsidR="00491E62" w:rsidRDefault="00491E62">
      <w:pPr>
        <w:autoSpaceDE w:val="0"/>
        <w:autoSpaceDN w:val="0"/>
        <w:adjustRightInd w:val="0"/>
        <w:spacing w:line="580" w:lineRule="exact"/>
        <w:jc w:val="center"/>
        <w:rPr>
          <w:rFonts w:ascii="Times New Roman" w:eastAsia="黑体" w:hAnsi="Times New Roman" w:cs="黑体"/>
          <w:sz w:val="30"/>
          <w:szCs w:val="30"/>
        </w:rPr>
      </w:pPr>
    </w:p>
    <w:p w14:paraId="64A39C33" w14:textId="77777777" w:rsidR="00491E62" w:rsidRDefault="00491E62">
      <w:pPr>
        <w:autoSpaceDE w:val="0"/>
        <w:autoSpaceDN w:val="0"/>
        <w:adjustRightInd w:val="0"/>
        <w:spacing w:line="580" w:lineRule="exact"/>
        <w:jc w:val="center"/>
        <w:rPr>
          <w:rFonts w:ascii="Times New Roman" w:eastAsia="黑体" w:hAnsi="Times New Roman" w:cs="黑体"/>
          <w:sz w:val="30"/>
          <w:szCs w:val="30"/>
        </w:rPr>
      </w:pPr>
    </w:p>
    <w:p w14:paraId="01D30592" w14:textId="77777777" w:rsidR="00491E62" w:rsidRDefault="00330332">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14:paraId="4FF056A3" w14:textId="77777777" w:rsidR="00491E62" w:rsidRDefault="00330332">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14:paraId="044663D2" w14:textId="77777777" w:rsidR="00491E62" w:rsidRDefault="00491E62">
      <w:pPr>
        <w:autoSpaceDE w:val="0"/>
        <w:autoSpaceDN w:val="0"/>
        <w:adjustRightInd w:val="0"/>
        <w:spacing w:line="600" w:lineRule="exact"/>
        <w:jc w:val="left"/>
        <w:rPr>
          <w:rFonts w:ascii="Times New Roman" w:eastAsia="黑体" w:hAnsi="Times New Roman" w:cs="黑体"/>
          <w:kern w:val="0"/>
          <w:sz w:val="30"/>
          <w:szCs w:val="30"/>
        </w:rPr>
      </w:pPr>
    </w:p>
    <w:p w14:paraId="46EE8FEC" w14:textId="77777777" w:rsidR="00491E62" w:rsidRDefault="0033033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14:paraId="3B000BDD" w14:textId="77777777" w:rsidR="00491E62" w:rsidRDefault="0033033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14:paraId="4F27905A" w14:textId="77777777" w:rsidR="00491E62" w:rsidRDefault="0033033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14:paraId="454353B3" w14:textId="77777777" w:rsidR="00491E62" w:rsidRDefault="0033033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14:paraId="3EF0490C" w14:textId="77777777" w:rsidR="00491E62" w:rsidRDefault="0033033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14:paraId="70305E96" w14:textId="77777777" w:rsidR="00491E62" w:rsidRDefault="0033033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14:paraId="47F3D811" w14:textId="77777777" w:rsidR="00491E62" w:rsidRDefault="0033033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14:paraId="73E08268" w14:textId="77777777" w:rsidR="00491E62" w:rsidRDefault="0033033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14:paraId="2C0A0C86" w14:textId="77777777" w:rsidR="00491E62" w:rsidRDefault="0033033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14:paraId="520D8D8F" w14:textId="77777777" w:rsidR="00491E62" w:rsidRDefault="0033033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14:paraId="4B634810" w14:textId="77777777" w:rsidR="00491E62" w:rsidRDefault="0033033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14:paraId="579C3415" w14:textId="77777777" w:rsidR="00491E62" w:rsidRDefault="0033033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14:paraId="1E5A7FBC" w14:textId="77777777" w:rsidR="00491E62" w:rsidRDefault="0033033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14:paraId="7655714C" w14:textId="77777777" w:rsidR="00491E62" w:rsidRDefault="0033033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14:paraId="17319B81" w14:textId="77777777" w:rsidR="00491E62" w:rsidRDefault="0033033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14:paraId="144ABAC9" w14:textId="77777777" w:rsidR="00491E62" w:rsidRDefault="0033033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14:paraId="06884C9B" w14:textId="77777777" w:rsidR="00491E62" w:rsidRDefault="0033033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14:paraId="3A9A0323" w14:textId="77777777" w:rsidR="00491E62" w:rsidRDefault="0033033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14:paraId="23C1D468" w14:textId="77777777" w:rsidR="00491E62" w:rsidRDefault="0033033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14:paraId="11F9A461" w14:textId="77777777" w:rsidR="00491E62" w:rsidRDefault="0033033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14:paraId="7A6C7E64" w14:textId="77777777" w:rsidR="00491E62" w:rsidRDefault="0033033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14:paraId="19BC24F1" w14:textId="77777777" w:rsidR="00491E62" w:rsidRDefault="0033033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14:paraId="6D800982" w14:textId="77777777" w:rsidR="00491E62" w:rsidRDefault="0033033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14:paraId="462DB322" w14:textId="77777777" w:rsidR="00491E62" w:rsidRDefault="0033033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14:paraId="6FF396EC" w14:textId="77777777" w:rsidR="00491E62" w:rsidRDefault="0033033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14:paraId="3625F54F" w14:textId="77777777" w:rsidR="00491E62" w:rsidRDefault="0033033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14:paraId="5B5696C7" w14:textId="77777777" w:rsidR="00491E62" w:rsidRDefault="0033033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14:paraId="7ED32A76" w14:textId="77777777" w:rsidR="00491E62" w:rsidRDefault="0033033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14:paraId="204B13DD" w14:textId="77777777" w:rsidR="00491E62" w:rsidRDefault="0033033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14:paraId="74DEF543" w14:textId="77777777" w:rsidR="00491E62" w:rsidRDefault="0033033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14:paraId="0C9A0978" w14:textId="77777777" w:rsidR="00491E62" w:rsidRDefault="0033033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14:paraId="3CDEB5A4" w14:textId="77777777" w:rsidR="00491E62" w:rsidRDefault="0033033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14:paraId="545945D1" w14:textId="77777777" w:rsidR="00491E62" w:rsidRDefault="00330332">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4EAA41E3" w14:textId="77777777" w:rsidR="00491E62" w:rsidRDefault="00330332">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14:paraId="197EF1C1" w14:textId="77777777" w:rsidR="00491E62" w:rsidRDefault="00330332">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14:paraId="21A30756" w14:textId="77777777" w:rsidR="00491E62" w:rsidRDefault="00330332">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医科大学主要职责为高等教育办学，办学宗旨为培养高等学历医药人才，促进卫生事业发展。学校业务范围包括学科建设，各类高等教育学生学历教育，博士后培养，相关科学研究，非学历继续教育及专业培训，开展学术交流，卫生医疗咨询等。</w:t>
      </w:r>
    </w:p>
    <w:p w14:paraId="56F57F87" w14:textId="77777777" w:rsidR="00491E62" w:rsidRDefault="00330332">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14:paraId="46916D7E" w14:textId="77777777" w:rsidR="00491E62" w:rsidRDefault="00330332">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天津医科大学内设</w:t>
      </w:r>
      <w:r>
        <w:rPr>
          <w:rFonts w:ascii="Times New Roman" w:eastAsia="仿宋_GB2312" w:hAnsi="Times New Roman" w:cs="仿宋_GB2312" w:hint="eastAsia"/>
          <w:sz w:val="30"/>
          <w:szCs w:val="30"/>
        </w:rPr>
        <w:t>25</w:t>
      </w:r>
      <w:r>
        <w:rPr>
          <w:rFonts w:ascii="Times New Roman" w:eastAsia="仿宋_GB2312" w:hAnsi="Times New Roman" w:cs="仿宋_GB2312" w:hint="eastAsia"/>
          <w:sz w:val="30"/>
          <w:szCs w:val="30"/>
        </w:rPr>
        <w:t>个综合管理机构，设有基础医学院、公共卫生学院、医学技术学院、药学院等</w:t>
      </w:r>
      <w:r>
        <w:rPr>
          <w:rFonts w:ascii="Times New Roman" w:eastAsia="仿宋_GB2312" w:hAnsi="Times New Roman" w:cs="仿宋_GB2312" w:hint="eastAsia"/>
          <w:sz w:val="30"/>
          <w:szCs w:val="30"/>
        </w:rPr>
        <w:t>19</w:t>
      </w:r>
      <w:r>
        <w:rPr>
          <w:rFonts w:ascii="Times New Roman" w:eastAsia="仿宋_GB2312" w:hAnsi="Times New Roman" w:cs="仿宋_GB2312" w:hint="eastAsia"/>
          <w:sz w:val="30"/>
          <w:szCs w:val="30"/>
        </w:rPr>
        <w:t>个学院（系）和</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个独立学院，学校目前有气象台路与广东路</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个校区和</w:t>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所大学医院；下辖</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个预算单位。纳入天津医科大学</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14:paraId="20572833" w14:textId="77777777" w:rsidR="00491E62" w:rsidRDefault="00330332">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天津医科大学</w:t>
      </w:r>
    </w:p>
    <w:p w14:paraId="5BED05EA" w14:textId="77777777" w:rsidR="00491E62" w:rsidRDefault="00330332">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3F513863" w14:textId="77777777" w:rsidR="00491E62" w:rsidRDefault="00330332">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14:paraId="08EECBD6" w14:textId="77777777" w:rsidR="00491E62" w:rsidRDefault="00491E62">
      <w:pPr>
        <w:autoSpaceDE w:val="0"/>
        <w:autoSpaceDN w:val="0"/>
        <w:adjustRightInd w:val="0"/>
        <w:spacing w:line="600" w:lineRule="exact"/>
        <w:jc w:val="left"/>
        <w:rPr>
          <w:rFonts w:ascii="Times New Roman" w:eastAsia="方正小标宋简体" w:hAnsi="Times New Roman" w:cs="Times New Roman"/>
          <w:kern w:val="0"/>
          <w:sz w:val="24"/>
          <w:szCs w:val="24"/>
        </w:rPr>
      </w:pPr>
    </w:p>
    <w:p w14:paraId="3366034D" w14:textId="77777777" w:rsidR="00491E62" w:rsidRDefault="0033033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14:paraId="167CB582" w14:textId="77777777" w:rsidR="00491E62" w:rsidRDefault="0033033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14:paraId="667F3022" w14:textId="77777777" w:rsidR="00491E62" w:rsidRDefault="0033033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14:paraId="38AB7742" w14:textId="77777777" w:rsidR="00491E62" w:rsidRDefault="0033033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14:paraId="731A6DC7" w14:textId="77777777" w:rsidR="00491E62" w:rsidRDefault="0033033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14:paraId="3AFCCE99" w14:textId="77777777" w:rsidR="00491E62" w:rsidRDefault="0033033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14:paraId="67DD362C" w14:textId="77777777" w:rsidR="00491E62" w:rsidRDefault="0033033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14:paraId="57C6D7D4" w14:textId="77777777" w:rsidR="00491E62" w:rsidRDefault="0033033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14:paraId="5B9075B2" w14:textId="77777777" w:rsidR="00491E62" w:rsidRDefault="0033033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14:paraId="1534381A" w14:textId="77777777" w:rsidR="00491E62" w:rsidRDefault="0033033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14:paraId="2F6331E5" w14:textId="77777777" w:rsidR="00491E62" w:rsidRDefault="0033033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14:paraId="5AADA131" w14:textId="77777777" w:rsidR="00491E62" w:rsidRDefault="00330332">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14:paraId="2BA9F84A" w14:textId="77777777" w:rsidR="00491E62" w:rsidRDefault="00330332">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14:paraId="56003543" w14:textId="77777777" w:rsidR="00491E62" w:rsidRDefault="00330332">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天津医科大学</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p>
    <w:p w14:paraId="24A8080B" w14:textId="77777777" w:rsidR="00491E62" w:rsidRDefault="00491E62">
      <w:pPr>
        <w:autoSpaceDE w:val="0"/>
        <w:autoSpaceDN w:val="0"/>
        <w:adjustRightInd w:val="0"/>
        <w:spacing w:line="600" w:lineRule="exact"/>
        <w:ind w:firstLine="601"/>
        <w:jc w:val="left"/>
        <w:rPr>
          <w:rFonts w:ascii="Times New Roman" w:eastAsia="仿宋_GB2312" w:hAnsi="Times New Roman" w:cs="仿宋_GB2312"/>
          <w:sz w:val="30"/>
          <w:szCs w:val="30"/>
        </w:rPr>
      </w:pPr>
    </w:p>
    <w:p w14:paraId="0CE7082B" w14:textId="77777777" w:rsidR="00491E62" w:rsidRDefault="00330332">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14:paraId="2F97C95C" w14:textId="77777777" w:rsidR="00491E62" w:rsidRDefault="00491E62">
      <w:pPr>
        <w:autoSpaceDE w:val="0"/>
        <w:autoSpaceDN w:val="0"/>
        <w:adjustRightInd w:val="0"/>
        <w:spacing w:line="580" w:lineRule="exact"/>
        <w:ind w:firstLine="600"/>
        <w:jc w:val="left"/>
        <w:rPr>
          <w:rFonts w:ascii="Times New Roman" w:eastAsia="黑体" w:hAnsi="Times New Roman" w:cs="黑体"/>
          <w:sz w:val="30"/>
          <w:szCs w:val="30"/>
          <w:lang w:val="zh-CN"/>
        </w:rPr>
      </w:pPr>
    </w:p>
    <w:p w14:paraId="679E099F" w14:textId="77777777" w:rsidR="00491E62" w:rsidRDefault="0033033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14:paraId="6A7906FC" w14:textId="2BD354CC" w:rsidR="00491E62" w:rsidRPr="00677C80" w:rsidRDefault="00330332">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天津医科大学</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1,667,438,808.90</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66,897,956.58</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4.18%</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sidR="00F23E89" w:rsidRPr="00677C80">
        <w:rPr>
          <w:rFonts w:ascii="Times New Roman" w:eastAsia="仿宋_GB2312" w:hAnsi="Times New Roman" w:cs="仿宋_GB2312" w:hint="eastAsia"/>
          <w:sz w:val="30"/>
          <w:szCs w:val="30"/>
        </w:rPr>
        <w:t>生均教育经费总额、财政专项略有增加</w:t>
      </w:r>
      <w:r w:rsidRPr="00677C80">
        <w:rPr>
          <w:rFonts w:ascii="Times New Roman" w:eastAsia="仿宋_GB2312" w:hAnsi="Times New Roman" w:cs="仿宋_GB2312" w:hint="eastAsia"/>
          <w:sz w:val="30"/>
          <w:szCs w:val="30"/>
        </w:rPr>
        <w:t>。</w:t>
      </w:r>
    </w:p>
    <w:p w14:paraId="3B565622" w14:textId="77777777" w:rsidR="00491E62" w:rsidRPr="00677C80" w:rsidRDefault="0033033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sidRPr="00677C80">
        <w:rPr>
          <w:rFonts w:ascii="Times New Roman" w:eastAsia="黑体" w:hAnsi="Times New Roman" w:cs="黑体" w:hint="eastAsia"/>
          <w:b/>
          <w:bCs/>
          <w:kern w:val="0"/>
          <w:sz w:val="30"/>
          <w:szCs w:val="30"/>
          <w:lang w:val="zh-CN"/>
        </w:rPr>
        <w:t>二、</w:t>
      </w:r>
      <w:r w:rsidRPr="00677C80">
        <w:rPr>
          <w:rFonts w:ascii="Times New Roman" w:eastAsia="黑体" w:hAnsi="Times New Roman" w:cs="黑体" w:hint="eastAsia"/>
          <w:b/>
          <w:bCs/>
          <w:kern w:val="0"/>
          <w:sz w:val="30"/>
          <w:szCs w:val="30"/>
        </w:rPr>
        <w:t>收入决算情况</w:t>
      </w:r>
      <w:r w:rsidRPr="00677C80">
        <w:rPr>
          <w:rFonts w:ascii="Times New Roman" w:eastAsia="黑体" w:hAnsi="Times New Roman" w:cs="黑体" w:hint="eastAsia"/>
          <w:b/>
          <w:bCs/>
          <w:kern w:val="0"/>
          <w:sz w:val="30"/>
          <w:szCs w:val="30"/>
          <w:lang w:val="zh-CN"/>
        </w:rPr>
        <w:t>说明</w:t>
      </w:r>
    </w:p>
    <w:p w14:paraId="7A251B15" w14:textId="45146A03" w:rsidR="00491E62" w:rsidRDefault="0033033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sidRPr="00677C80">
        <w:rPr>
          <w:rFonts w:ascii="Times New Roman" w:eastAsia="仿宋_GB2312" w:hAnsi="Times New Roman" w:cs="仿宋_GB2312" w:hint="eastAsia"/>
          <w:sz w:val="30"/>
          <w:szCs w:val="30"/>
        </w:rPr>
        <w:t>天津医科大学</w:t>
      </w:r>
      <w:r w:rsidRPr="00677C80">
        <w:rPr>
          <w:rFonts w:ascii="Times New Roman" w:eastAsia="仿宋_GB2312" w:hAnsi="Times New Roman" w:cs="Times New Roman" w:hint="eastAsia"/>
          <w:sz w:val="30"/>
          <w:szCs w:val="30"/>
        </w:rPr>
        <w:t>2023</w:t>
      </w:r>
      <w:r w:rsidRPr="00677C80">
        <w:rPr>
          <w:rFonts w:ascii="Times New Roman" w:eastAsia="仿宋_GB2312" w:hAnsi="Times New Roman" w:cs="仿宋_GB2312" w:hint="eastAsia"/>
          <w:sz w:val="30"/>
          <w:szCs w:val="30"/>
          <w:lang w:val="zh-CN"/>
        </w:rPr>
        <w:t>年度本年收入合计</w:t>
      </w:r>
      <w:r w:rsidRPr="00677C80">
        <w:rPr>
          <w:rFonts w:ascii="Times New Roman" w:eastAsia="仿宋_GB2312" w:hAnsi="Times New Roman" w:cs="Times New Roman" w:hint="eastAsia"/>
          <w:sz w:val="30"/>
          <w:szCs w:val="30"/>
        </w:rPr>
        <w:t>1,512,676,853.67</w:t>
      </w:r>
      <w:r w:rsidRPr="00677C80">
        <w:rPr>
          <w:rFonts w:ascii="Times New Roman" w:eastAsia="仿宋_GB2312" w:hAnsi="Times New Roman" w:cs="仿宋_GB2312" w:hint="eastAsia"/>
          <w:sz w:val="30"/>
          <w:szCs w:val="30"/>
        </w:rPr>
        <w:t>元，与</w:t>
      </w:r>
      <w:r w:rsidRPr="00677C80">
        <w:rPr>
          <w:rFonts w:ascii="Times New Roman" w:eastAsia="仿宋_GB2312" w:hAnsi="Times New Roman" w:cs="Times New Roman" w:hint="eastAsia"/>
          <w:sz w:val="30"/>
          <w:szCs w:val="30"/>
        </w:rPr>
        <w:t>2022</w:t>
      </w:r>
      <w:r w:rsidRPr="00677C80">
        <w:rPr>
          <w:rFonts w:ascii="Times New Roman" w:eastAsia="仿宋_GB2312" w:hAnsi="Times New Roman" w:cs="仿宋_GB2312" w:hint="eastAsia"/>
          <w:sz w:val="30"/>
          <w:szCs w:val="30"/>
        </w:rPr>
        <w:t>年度相比增加</w:t>
      </w:r>
      <w:r w:rsidRPr="00677C80">
        <w:rPr>
          <w:rFonts w:ascii="Times New Roman" w:eastAsia="仿宋_GB2312" w:hAnsi="Times New Roman" w:cs="仿宋_GB2312" w:hint="eastAsia"/>
          <w:sz w:val="30"/>
          <w:szCs w:val="30"/>
        </w:rPr>
        <w:t>55,620,146.65</w:t>
      </w:r>
      <w:r w:rsidRPr="00677C80">
        <w:rPr>
          <w:rFonts w:ascii="Times New Roman" w:eastAsia="仿宋_GB2312" w:hAnsi="Times New Roman" w:cs="仿宋_GB2312" w:hint="eastAsia"/>
          <w:sz w:val="30"/>
          <w:szCs w:val="30"/>
        </w:rPr>
        <w:t>元，</w:t>
      </w:r>
      <w:r w:rsidRPr="00677C80">
        <w:rPr>
          <w:rFonts w:ascii="Times New Roman" w:eastAsia="仿宋_GB2312" w:hAnsi="Times New Roman" w:cs="仿宋_GB2312" w:hint="eastAsia"/>
          <w:kern w:val="0"/>
          <w:sz w:val="30"/>
          <w:szCs w:val="30"/>
          <w:lang w:val="zh-CN"/>
        </w:rPr>
        <w:t>主要原因是</w:t>
      </w:r>
      <w:r w:rsidRPr="00677C80">
        <w:rPr>
          <w:rFonts w:ascii="Times New Roman" w:eastAsia="仿宋_GB2312" w:hAnsi="Times New Roman" w:cs="仿宋_GB2312" w:hint="eastAsia"/>
          <w:kern w:val="0"/>
          <w:sz w:val="30"/>
          <w:szCs w:val="30"/>
        </w:rPr>
        <w:t>：</w:t>
      </w:r>
      <w:r w:rsidR="00F23E89" w:rsidRPr="00677C80">
        <w:rPr>
          <w:rFonts w:ascii="Times New Roman" w:eastAsia="仿宋_GB2312" w:hAnsi="Times New Roman" w:cs="仿宋_GB2312" w:hint="eastAsia"/>
          <w:sz w:val="30"/>
          <w:szCs w:val="30"/>
        </w:rPr>
        <w:t>生均教育经费总额、财政专项略有增加。</w:t>
      </w:r>
    </w:p>
    <w:p w14:paraId="522798AB" w14:textId="77777777" w:rsidR="00491E62" w:rsidRDefault="00330332">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580,832,238.40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38.4</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14:paraId="7EB60BD6" w14:textId="77777777" w:rsidR="00491E62" w:rsidRDefault="00330332">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531,919,250.86</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35.1</w:t>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lang w:val="zh-CN"/>
        </w:rPr>
        <w:t>%</w:t>
      </w:r>
      <w:r>
        <w:rPr>
          <w:rFonts w:ascii="Times New Roman" w:eastAsia="仿宋_GB2312" w:hAnsi="Times New Roman" w:cs="仿宋_GB2312" w:hint="eastAsia"/>
          <w:sz w:val="30"/>
          <w:szCs w:val="30"/>
          <w:lang w:val="zh-CN"/>
        </w:rPr>
        <w:t>；</w:t>
      </w:r>
    </w:p>
    <w:p w14:paraId="7BF4DEF7" w14:textId="77777777" w:rsidR="00491E62" w:rsidRDefault="00330332">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财政专户管理资金收入</w:t>
      </w:r>
      <w:r>
        <w:rPr>
          <w:rFonts w:ascii="Times New Roman" w:eastAsia="仿宋_GB2312" w:hAnsi="Times New Roman" w:cs="仿宋_GB2312" w:hint="eastAsia"/>
          <w:sz w:val="30"/>
          <w:szCs w:val="30"/>
          <w:lang w:val="zh-CN"/>
        </w:rPr>
        <w:t>147,530,207.01</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9.75%</w:t>
      </w:r>
      <w:r>
        <w:rPr>
          <w:rFonts w:ascii="Times New Roman" w:eastAsia="仿宋_GB2312" w:hAnsi="Times New Roman" w:cs="仿宋_GB2312" w:hint="eastAsia"/>
          <w:sz w:val="30"/>
          <w:szCs w:val="30"/>
          <w:lang w:val="zh-CN"/>
        </w:rPr>
        <w:t>；</w:t>
      </w:r>
    </w:p>
    <w:p w14:paraId="0CB28BAA" w14:textId="77777777" w:rsidR="00491E62" w:rsidRDefault="00330332">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144,051,409.69</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9.52%</w:t>
      </w:r>
      <w:r>
        <w:rPr>
          <w:rFonts w:ascii="Times New Roman" w:eastAsia="仿宋_GB2312" w:hAnsi="Times New Roman" w:cs="仿宋_GB2312" w:hint="eastAsia"/>
          <w:sz w:val="30"/>
          <w:szCs w:val="30"/>
          <w:lang w:val="zh-CN"/>
        </w:rPr>
        <w:t>；</w:t>
      </w:r>
    </w:p>
    <w:p w14:paraId="1434AAFC" w14:textId="77777777" w:rsidR="00491E62" w:rsidRDefault="00330332">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108,343,747.71</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7.16%</w:t>
      </w:r>
      <w:r>
        <w:rPr>
          <w:rFonts w:ascii="Times New Roman" w:eastAsia="仿宋_GB2312" w:hAnsi="Times New Roman" w:cs="仿宋_GB2312" w:hint="eastAsia"/>
          <w:sz w:val="30"/>
          <w:szCs w:val="30"/>
          <w:lang w:val="zh-CN"/>
        </w:rPr>
        <w:t>。</w:t>
      </w:r>
    </w:p>
    <w:p w14:paraId="752212BE" w14:textId="77777777" w:rsidR="00491E62" w:rsidRDefault="0033033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14:paraId="16FE8C2A" w14:textId="4EB00575" w:rsidR="00491E62" w:rsidRDefault="00330332">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天津医科大学</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1,514,376,567.99</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lastRenderedPageBreak/>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68,367,486.69</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sidR="00F23E89" w:rsidRPr="00677C80">
        <w:rPr>
          <w:rFonts w:ascii="Times New Roman" w:eastAsia="仿宋_GB2312" w:hAnsi="Times New Roman" w:cs="仿宋_GB2312" w:hint="eastAsia"/>
          <w:sz w:val="30"/>
          <w:szCs w:val="30"/>
        </w:rPr>
        <w:t>生均教育经费总额、财政专项略有增加。</w:t>
      </w:r>
    </w:p>
    <w:p w14:paraId="5FA50F73" w14:textId="77777777" w:rsidR="00491E62" w:rsidRDefault="00330332">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573,951,283.75</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37.9%</w:t>
      </w:r>
      <w:r>
        <w:rPr>
          <w:rFonts w:ascii="Times New Roman" w:eastAsia="仿宋_GB2312" w:hAnsi="Times New Roman" w:cs="仿宋_GB2312" w:hint="eastAsia"/>
          <w:sz w:val="30"/>
          <w:szCs w:val="30"/>
        </w:rPr>
        <w:t>；</w:t>
      </w:r>
    </w:p>
    <w:p w14:paraId="329AB91A" w14:textId="77777777" w:rsidR="00491E62" w:rsidRDefault="00330332">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940,425,284.24</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62.1%</w:t>
      </w:r>
      <w:r>
        <w:rPr>
          <w:rFonts w:ascii="Times New Roman" w:eastAsia="仿宋_GB2312" w:hAnsi="Times New Roman" w:cs="仿宋_GB2312" w:hint="eastAsia"/>
          <w:sz w:val="30"/>
          <w:szCs w:val="30"/>
        </w:rPr>
        <w:t>。</w:t>
      </w:r>
    </w:p>
    <w:p w14:paraId="115A196B" w14:textId="77777777" w:rsidR="00491E62" w:rsidRDefault="0033033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14:paraId="19794E50" w14:textId="71551528" w:rsidR="00491E62" w:rsidRDefault="00330332">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天津医科大学</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1,112,751,489.26</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66,153,720.07</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6.32</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sidRPr="00677C80">
        <w:rPr>
          <w:rFonts w:ascii="Times New Roman" w:eastAsia="仿宋_GB2312" w:hAnsi="Times New Roman" w:cs="仿宋_GB2312" w:hint="eastAsia"/>
          <w:sz w:val="30"/>
          <w:szCs w:val="30"/>
        </w:rPr>
        <w:t>生均教育经费总额、财政专项略有增加。</w:t>
      </w:r>
    </w:p>
    <w:p w14:paraId="648637ED" w14:textId="77777777" w:rsidR="00491E62" w:rsidRDefault="0033033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14:paraId="54695432" w14:textId="77777777" w:rsidR="00491E62" w:rsidRDefault="00330332">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14:paraId="6B34961D" w14:textId="77777777" w:rsidR="00491E62" w:rsidRDefault="0033033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天津医科大学</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580,832,238.40</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38.35%</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150,815,327.14</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35.07%</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：本年新增医科大学专项资金和高校促进产业发展专项，生均教育经费总额、一流学科经费和学生资助增加。</w:t>
      </w:r>
    </w:p>
    <w:p w14:paraId="7042858E" w14:textId="77777777" w:rsidR="00491E62" w:rsidRDefault="00330332">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14:paraId="6E38C268" w14:textId="77777777" w:rsidR="00491E62" w:rsidRDefault="0033033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580,832,238.40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教育支出</w:t>
      </w:r>
      <w:r>
        <w:rPr>
          <w:rFonts w:ascii="Times New Roman" w:eastAsia="仿宋_GB2312" w:hAnsi="Times New Roman" w:cs="仿宋_GB2312" w:hint="eastAsia"/>
          <w:sz w:val="30"/>
          <w:szCs w:val="30"/>
        </w:rPr>
        <w:t>533,031,812.00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91.77%</w:t>
      </w:r>
      <w:r>
        <w:rPr>
          <w:rFonts w:ascii="Times New Roman" w:eastAsia="仿宋_GB2312" w:hAnsi="Times New Roman" w:cs="仿宋_GB2312" w:hint="eastAsia"/>
          <w:sz w:val="30"/>
          <w:szCs w:val="30"/>
        </w:rPr>
        <w:t>，科学技术支出</w:t>
      </w:r>
      <w:r>
        <w:rPr>
          <w:rFonts w:ascii="Times New Roman" w:eastAsia="仿宋_GB2312" w:hAnsi="Times New Roman" w:cs="仿宋_GB2312" w:hint="eastAsia"/>
          <w:sz w:val="30"/>
          <w:szCs w:val="30"/>
        </w:rPr>
        <w:t>955,826.40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0.16%</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28,488,000.00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4.91%</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18,167,000.00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3.13%</w:t>
      </w:r>
      <w:r>
        <w:rPr>
          <w:rFonts w:ascii="Times New Roman" w:eastAsia="仿宋_GB2312" w:hAnsi="Times New Roman" w:cs="仿宋_GB2312" w:hint="eastAsia"/>
          <w:sz w:val="30"/>
          <w:szCs w:val="30"/>
        </w:rPr>
        <w:t>，债务付息支出</w:t>
      </w:r>
      <w:r>
        <w:rPr>
          <w:rFonts w:ascii="Times New Roman" w:eastAsia="仿宋_GB2312" w:hAnsi="Times New Roman" w:cs="仿宋_GB2312" w:hint="eastAsia"/>
          <w:sz w:val="30"/>
          <w:szCs w:val="30"/>
        </w:rPr>
        <w:lastRenderedPageBreak/>
        <w:t>189,600.00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0.03%</w:t>
      </w:r>
      <w:r>
        <w:rPr>
          <w:rFonts w:ascii="Times New Roman" w:eastAsia="仿宋_GB2312" w:hAnsi="Times New Roman" w:cs="仿宋_GB2312" w:hint="eastAsia"/>
          <w:sz w:val="30"/>
          <w:szCs w:val="30"/>
        </w:rPr>
        <w:t>。</w:t>
      </w:r>
    </w:p>
    <w:p w14:paraId="475A543D" w14:textId="77777777" w:rsidR="00491E62" w:rsidRDefault="00330332">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14:paraId="20766C48" w14:textId="77777777" w:rsidR="00491E62" w:rsidRDefault="0033033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577,792,100.00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580,832,238.40</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100.53%</w:t>
      </w:r>
      <w:r>
        <w:rPr>
          <w:rFonts w:ascii="Times New Roman" w:eastAsia="仿宋_GB2312" w:hAnsi="Times New Roman" w:cs="仿宋_GB2312" w:hint="eastAsia"/>
          <w:kern w:val="0"/>
          <w:sz w:val="30"/>
          <w:szCs w:val="30"/>
        </w:rPr>
        <w:t>。其中：</w:t>
      </w:r>
    </w:p>
    <w:p w14:paraId="20E4E21A" w14:textId="23B15827" w:rsidR="00491E62" w:rsidRDefault="0033033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教育支出（类）普通教育（款）高等教育（项）年初预算为</w:t>
      </w:r>
      <w:r>
        <w:rPr>
          <w:rFonts w:ascii="Times New Roman" w:eastAsia="仿宋_GB2312" w:hAnsi="Times New Roman" w:cs="仿宋_GB2312" w:hint="eastAsia"/>
          <w:sz w:val="30"/>
          <w:szCs w:val="30"/>
        </w:rPr>
        <w:t>529,942,500.00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532,026,812.00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100.39%</w:t>
      </w:r>
      <w:r>
        <w:rPr>
          <w:rFonts w:ascii="Times New Roman" w:eastAsia="仿宋_GB2312" w:hAnsi="Times New Roman" w:cs="仿宋_GB2312" w:hint="eastAsia"/>
          <w:sz w:val="30"/>
          <w:szCs w:val="30"/>
        </w:rPr>
        <w:t>，决算数大于年初预算数的主要原因是</w:t>
      </w:r>
      <w:r w:rsidRPr="00677C80">
        <w:rPr>
          <w:rFonts w:ascii="Times New Roman" w:eastAsia="仿宋_GB2312" w:hAnsi="Times New Roman" w:cs="仿宋_GB2312" w:hint="eastAsia"/>
          <w:sz w:val="30"/>
          <w:szCs w:val="30"/>
        </w:rPr>
        <w:t>财政专项略有增加。</w:t>
      </w:r>
      <w:bookmarkStart w:id="0" w:name="_GoBack"/>
      <w:bookmarkEnd w:id="0"/>
    </w:p>
    <w:p w14:paraId="3933DE8A" w14:textId="77777777" w:rsidR="00491E62" w:rsidRDefault="0033033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教育支出（类）普通教育（款）其他普通教育支出（项）年初预算为</w:t>
      </w:r>
      <w:r>
        <w:rPr>
          <w:rFonts w:ascii="Times New Roman" w:eastAsia="仿宋_GB2312" w:hAnsi="Times New Roman" w:cs="仿宋_GB2312" w:hint="eastAsia"/>
          <w:sz w:val="30"/>
          <w:szCs w:val="30"/>
        </w:rPr>
        <w:t>1,005,000.00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1,005,000.00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，决算数等于年初预算数。</w:t>
      </w:r>
    </w:p>
    <w:p w14:paraId="154873BF" w14:textId="77777777" w:rsidR="00491E62" w:rsidRDefault="0033033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科学技术支出（类）基础研究（款）自然科学基金（项）年初预算为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836,525.08</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836,525.08</w:t>
      </w:r>
      <w:r>
        <w:rPr>
          <w:rFonts w:ascii="Times New Roman" w:eastAsia="仿宋_GB2312" w:hAnsi="Times New Roman" w:cs="仿宋_GB2312" w:hint="eastAsia"/>
          <w:sz w:val="30"/>
          <w:szCs w:val="30"/>
        </w:rPr>
        <w:t>元，决算数大于年初预算数的主要原因是</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年度市财政年中追加科研经费。</w:t>
      </w:r>
    </w:p>
    <w:p w14:paraId="714BBF4C" w14:textId="77777777" w:rsidR="00491E62" w:rsidRDefault="0033033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科学技术支出（类）技术研究与开发（款）其他技术研究与开发支出（项）年初预算为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34,082.00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34,082.00</w:t>
      </w:r>
      <w:r>
        <w:rPr>
          <w:rFonts w:ascii="Times New Roman" w:eastAsia="仿宋_GB2312" w:hAnsi="Times New Roman" w:cs="仿宋_GB2312" w:hint="eastAsia"/>
          <w:sz w:val="30"/>
          <w:szCs w:val="30"/>
        </w:rPr>
        <w:t>元，决算数大于年初预算数的主要原因是</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年度市财政年中追加科研经费。</w:t>
      </w:r>
    </w:p>
    <w:p w14:paraId="0CF3E088" w14:textId="77777777" w:rsidR="00491E62" w:rsidRDefault="0033033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科学技术支出（类）其他科学技术支出（款）其他科学技术支出（项）年初预算为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85,219.32</w:t>
      </w:r>
      <w:r>
        <w:rPr>
          <w:rFonts w:ascii="Times New Roman" w:eastAsia="仿宋_GB2312" w:hAnsi="Times New Roman" w:cs="仿宋_GB2312" w:hint="eastAsia"/>
          <w:sz w:val="30"/>
          <w:szCs w:val="30"/>
        </w:rPr>
        <w:t>元，支出决算</w:t>
      </w:r>
      <w:r>
        <w:rPr>
          <w:rFonts w:ascii="Times New Roman" w:eastAsia="仿宋_GB2312" w:hAnsi="Times New Roman" w:cs="仿宋_GB2312" w:hint="eastAsia"/>
          <w:sz w:val="30"/>
          <w:szCs w:val="30"/>
        </w:rPr>
        <w:lastRenderedPageBreak/>
        <w:t>为</w:t>
      </w:r>
      <w:r>
        <w:rPr>
          <w:rFonts w:ascii="Times New Roman" w:eastAsia="仿宋_GB2312" w:hAnsi="Times New Roman" w:cs="仿宋_GB2312" w:hint="eastAsia"/>
          <w:sz w:val="30"/>
          <w:szCs w:val="30"/>
        </w:rPr>
        <w:t>85,219.32</w:t>
      </w:r>
      <w:r>
        <w:rPr>
          <w:rFonts w:ascii="Times New Roman" w:eastAsia="仿宋_GB2312" w:hAnsi="Times New Roman" w:cs="仿宋_GB2312" w:hint="eastAsia"/>
          <w:sz w:val="30"/>
          <w:szCs w:val="30"/>
        </w:rPr>
        <w:t>元，决算数大于年初预算数的主要原因是</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年度市财政年中追加科研经费。</w:t>
      </w:r>
    </w:p>
    <w:p w14:paraId="2BA87BE4" w14:textId="77777777" w:rsidR="00491E62" w:rsidRDefault="0033033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hint="eastAsia"/>
          <w:sz w:val="30"/>
          <w:szCs w:val="30"/>
        </w:rPr>
        <w:t>18,992,000.00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18,992,000.00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，决算数等于年初预算数。</w:t>
      </w:r>
    </w:p>
    <w:p w14:paraId="746ECBD6" w14:textId="77777777" w:rsidR="00491E62" w:rsidRDefault="0033033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hint="eastAsia"/>
          <w:sz w:val="30"/>
          <w:szCs w:val="30"/>
        </w:rPr>
        <w:t>9,496,000.00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9,496,000.00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，决算数等于年初预算数。</w:t>
      </w:r>
    </w:p>
    <w:p w14:paraId="1780C2C9" w14:textId="77777777" w:rsidR="00491E62" w:rsidRDefault="0033033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8.</w:t>
      </w:r>
      <w:r>
        <w:rPr>
          <w:rFonts w:ascii="Times New Roman" w:eastAsia="仿宋_GB2312" w:hAnsi="Times New Roman" w:cs="仿宋_GB2312" w:hint="eastAsia"/>
          <w:sz w:val="30"/>
          <w:szCs w:val="30"/>
        </w:rPr>
        <w:t>卫生健康支出（类）公共卫生（款）基本公共卫生服务（项）年初预算为</w:t>
      </w:r>
      <w:r>
        <w:rPr>
          <w:rFonts w:ascii="Times New Roman" w:eastAsia="仿宋_GB2312" w:hAnsi="Times New Roman" w:cs="仿宋_GB2312" w:hint="eastAsia"/>
          <w:sz w:val="30"/>
          <w:szCs w:val="30"/>
        </w:rPr>
        <w:t>500,000.00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500,000.00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，决算数等于年初预算数。</w:t>
      </w:r>
    </w:p>
    <w:p w14:paraId="1953DD7F" w14:textId="77777777" w:rsidR="00491E62" w:rsidRDefault="0033033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9.</w:t>
      </w:r>
      <w:r>
        <w:rPr>
          <w:rFonts w:ascii="Times New Roman" w:eastAsia="仿宋_GB2312" w:hAnsi="Times New Roman" w:cs="仿宋_GB2312" w:hint="eastAsia"/>
          <w:sz w:val="30"/>
          <w:szCs w:val="30"/>
        </w:rPr>
        <w:t>卫生健康支出（类）公共卫生（款）其他公共卫生支出（项）年初预算为</w:t>
      </w:r>
      <w:r>
        <w:rPr>
          <w:rFonts w:ascii="Times New Roman" w:eastAsia="仿宋_GB2312" w:hAnsi="Times New Roman" w:cs="仿宋_GB2312" w:hint="eastAsia"/>
          <w:sz w:val="30"/>
          <w:szCs w:val="30"/>
        </w:rPr>
        <w:t>20,000.00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20,000.00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，决算数等于年初预算数。</w:t>
      </w:r>
    </w:p>
    <w:p w14:paraId="3CCA5393" w14:textId="77777777" w:rsidR="00491E62" w:rsidRDefault="0033033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10.</w:t>
      </w:r>
      <w:r>
        <w:rPr>
          <w:rFonts w:ascii="Times New Roman" w:eastAsia="仿宋_GB2312" w:hAnsi="Times New Roman" w:cs="仿宋_GB2312" w:hint="eastAsia"/>
          <w:sz w:val="30"/>
          <w:szCs w:val="30"/>
        </w:rPr>
        <w:t>卫生健康支出（类）中医药（款）中医（民族</w:t>
      </w:r>
      <w:proofErr w:type="gramStart"/>
      <w:r>
        <w:rPr>
          <w:rFonts w:ascii="Times New Roman" w:eastAsia="仿宋_GB2312" w:hAnsi="Times New Roman" w:cs="仿宋_GB2312" w:hint="eastAsia"/>
          <w:sz w:val="30"/>
          <w:szCs w:val="30"/>
        </w:rPr>
        <w:t>医</w:t>
      </w:r>
      <w:proofErr w:type="gramEnd"/>
      <w:r>
        <w:rPr>
          <w:rFonts w:ascii="Times New Roman" w:eastAsia="仿宋_GB2312" w:hAnsi="Times New Roman" w:cs="仿宋_GB2312" w:hint="eastAsia"/>
          <w:sz w:val="30"/>
          <w:szCs w:val="30"/>
        </w:rPr>
        <w:t>）药专项（项）年初预算为</w:t>
      </w:r>
      <w:r>
        <w:rPr>
          <w:rFonts w:ascii="Times New Roman" w:eastAsia="仿宋_GB2312" w:hAnsi="Times New Roman" w:cs="仿宋_GB2312" w:hint="eastAsia"/>
          <w:sz w:val="30"/>
          <w:szCs w:val="30"/>
        </w:rPr>
        <w:t>10,000.00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10,000.00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，决算数等于年初预算数。</w:t>
      </w:r>
    </w:p>
    <w:p w14:paraId="47B67176" w14:textId="77777777" w:rsidR="00491E62" w:rsidRDefault="0033033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11.</w:t>
      </w:r>
      <w:r>
        <w:rPr>
          <w:rFonts w:ascii="Times New Roman" w:eastAsia="仿宋_GB2312" w:hAnsi="Times New Roman" w:cs="仿宋_GB2312" w:hint="eastAsia"/>
          <w:sz w:val="30"/>
          <w:szCs w:val="30"/>
        </w:rPr>
        <w:t>卫生健康支出（类）行政事业单位医疗（款）事业单位医疗（项）年初预算为</w:t>
      </w:r>
      <w:r>
        <w:rPr>
          <w:rFonts w:ascii="Times New Roman" w:eastAsia="仿宋_GB2312" w:hAnsi="Times New Roman" w:cs="仿宋_GB2312" w:hint="eastAsia"/>
          <w:sz w:val="30"/>
          <w:szCs w:val="30"/>
        </w:rPr>
        <w:t>12,944,000.00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12,944,000.00</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lastRenderedPageBreak/>
        <w:t>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，决算数等于年初预算数。</w:t>
      </w:r>
    </w:p>
    <w:p w14:paraId="6FE80962" w14:textId="77777777" w:rsidR="00491E62" w:rsidRDefault="0033033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12.</w:t>
      </w:r>
      <w:r>
        <w:rPr>
          <w:rFonts w:ascii="Times New Roman" w:eastAsia="仿宋_GB2312" w:hAnsi="Times New Roman" w:cs="仿宋_GB2312" w:hint="eastAsia"/>
          <w:sz w:val="30"/>
          <w:szCs w:val="30"/>
        </w:rPr>
        <w:t>卫生健康支出（类）行政事业单位医疗（款）其他行政事业单位医疗支出（项）年初预算为</w:t>
      </w:r>
      <w:r>
        <w:rPr>
          <w:rFonts w:ascii="Times New Roman" w:eastAsia="仿宋_GB2312" w:hAnsi="Times New Roman" w:cs="仿宋_GB2312" w:hint="eastAsia"/>
          <w:sz w:val="30"/>
          <w:szCs w:val="30"/>
        </w:rPr>
        <w:t>4,693,000.00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4,693,000.00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，决算数等于年初预算数。</w:t>
      </w:r>
    </w:p>
    <w:p w14:paraId="22AC3D83" w14:textId="77777777" w:rsidR="00491E62" w:rsidRDefault="00330332">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13.</w:t>
      </w:r>
      <w:r>
        <w:rPr>
          <w:rFonts w:ascii="Times New Roman" w:eastAsia="仿宋_GB2312" w:hAnsi="Times New Roman" w:cs="仿宋_GB2312" w:hint="eastAsia"/>
          <w:sz w:val="30"/>
          <w:szCs w:val="30"/>
        </w:rPr>
        <w:t>债务付息支出（类）地方政府一般债务付息支出（款）地方政府一般债券付息支出（项）年初预算为</w:t>
      </w:r>
      <w:r>
        <w:rPr>
          <w:rFonts w:ascii="Times New Roman" w:eastAsia="仿宋_GB2312" w:hAnsi="Times New Roman" w:cs="仿宋_GB2312" w:hint="eastAsia"/>
          <w:sz w:val="30"/>
          <w:szCs w:val="30"/>
        </w:rPr>
        <w:t>189,600.00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189,600.00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，决算数等于年初预算数。</w:t>
      </w:r>
    </w:p>
    <w:p w14:paraId="587B9F04" w14:textId="77777777" w:rsidR="00491E62" w:rsidRDefault="0033033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14:paraId="4A89A8E0" w14:textId="77777777" w:rsidR="00491E62" w:rsidRDefault="00330332">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天津医科大学</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337,210,312.00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18,524,312.00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硕士及博士研究生扩招后，财政生均经费总额增加。</w:t>
      </w:r>
      <w:r>
        <w:rPr>
          <w:rFonts w:ascii="Times New Roman" w:eastAsia="仿宋_GB2312" w:hAnsi="Times New Roman" w:cs="仿宋_GB2312" w:hint="eastAsia"/>
          <w:kern w:val="0"/>
          <w:sz w:val="30"/>
          <w:szCs w:val="30"/>
        </w:rPr>
        <w:t>其中：</w:t>
      </w:r>
    </w:p>
    <w:p w14:paraId="5C6E69A2" w14:textId="77777777" w:rsidR="00491E62" w:rsidRDefault="00330332">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277,410,312.00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基本工资、津贴补贴、绩效工资、机关事业单位基本养老保险缴费、职业年金缴费、职工基本医疗保险缴费、其他社会保障缴费、住房公积金、医疗费、离休费、退休费、医疗费补助。</w:t>
      </w:r>
    </w:p>
    <w:p w14:paraId="49C675F6" w14:textId="77777777" w:rsidR="00491E62" w:rsidRDefault="00330332">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59,800,000.00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印刷费、水费、电费、邮电费、取暖费、物业管理费、差旅费、维修（护）费、租赁费、会议费、培训费、专用材料费、委托业务费、工会经费、福利费、公务用车运行维护费、其他交通费、其他商品和服务支出、</w:t>
      </w:r>
      <w:r>
        <w:rPr>
          <w:rFonts w:ascii="Times New Roman" w:eastAsia="仿宋_GB2312" w:hAnsi="Times New Roman" w:cs="仿宋_GB2312" w:hint="eastAsia"/>
          <w:sz w:val="30"/>
          <w:szCs w:val="30"/>
        </w:rPr>
        <w:lastRenderedPageBreak/>
        <w:t>办公设备购置、专用设备购置、其他资本性支出。</w:t>
      </w:r>
    </w:p>
    <w:p w14:paraId="1764C3C7" w14:textId="77777777" w:rsidR="00491E62" w:rsidRDefault="0033033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14:paraId="3D619526" w14:textId="77777777" w:rsidR="00491E62" w:rsidRDefault="00330332">
      <w:pPr>
        <w:autoSpaceDE w:val="0"/>
        <w:autoSpaceDN w:val="0"/>
        <w:adjustRightInd w:val="0"/>
        <w:spacing w:line="58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天津医科大学</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年度部门决算政府性基金预算财政拨款</w:t>
      </w:r>
      <w:r>
        <w:rPr>
          <w:rFonts w:ascii="Times New Roman" w:eastAsia="仿宋_GB2312" w:hAnsi="Times New Roman" w:cs="仿宋_GB2312" w:hint="eastAsia"/>
          <w:kern w:val="0"/>
          <w:sz w:val="30"/>
          <w:szCs w:val="30"/>
        </w:rPr>
        <w:t>年初结转和结余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元，收入</w:t>
      </w:r>
      <w:r>
        <w:rPr>
          <w:rFonts w:ascii="Times New Roman" w:eastAsia="仿宋_GB2312" w:hAnsi="Times New Roman" w:cs="Times New Roman" w:hint="eastAsia"/>
          <w:sz w:val="30"/>
          <w:szCs w:val="30"/>
        </w:rPr>
        <w:t>531,919,250.86</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Times New Roman" w:hint="eastAsia"/>
          <w:sz w:val="30"/>
          <w:szCs w:val="30"/>
        </w:rPr>
        <w:t>531,919,250.86</w:t>
      </w:r>
      <w:r>
        <w:rPr>
          <w:rFonts w:ascii="Times New Roman" w:eastAsia="仿宋_GB2312" w:hAnsi="Times New Roman" w:cs="仿宋_GB2312" w:hint="eastAsia"/>
          <w:sz w:val="30"/>
          <w:szCs w:val="30"/>
        </w:rPr>
        <w:t>元，年末结转和结余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年度相比，政府性基金财政拨款支出减少</w:t>
      </w:r>
      <w:r>
        <w:rPr>
          <w:rFonts w:ascii="Times New Roman" w:eastAsia="仿宋_GB2312" w:hAnsi="Times New Roman" w:cs="仿宋_GB2312" w:hint="eastAsia"/>
          <w:sz w:val="30"/>
          <w:szCs w:val="30"/>
        </w:rPr>
        <w:t>84,661,607.07</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13.73%</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lang w:val="zh-CN"/>
        </w:rPr>
        <w:t>：</w:t>
      </w:r>
      <w:r>
        <w:rPr>
          <w:rFonts w:ascii="Times New Roman" w:eastAsia="仿宋_GB2312" w:hAnsi="Times New Roman" w:cs="仿宋_GB2312" w:hint="eastAsia"/>
          <w:sz w:val="30"/>
          <w:szCs w:val="30"/>
        </w:rPr>
        <w:t>本年度新校区政府专项债券较上年度减少。</w:t>
      </w:r>
      <w:r>
        <w:rPr>
          <w:rFonts w:ascii="Times New Roman" w:eastAsia="仿宋_GB2312" w:hAnsi="Times New Roman" w:cs="仿宋_GB2312" w:hint="eastAsia"/>
          <w:sz w:val="30"/>
          <w:szCs w:val="30"/>
        </w:rPr>
        <w:tab/>
      </w:r>
    </w:p>
    <w:p w14:paraId="39C2460E" w14:textId="77777777" w:rsidR="00491E62" w:rsidRDefault="0033033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14:paraId="50C0CD4C" w14:textId="77777777" w:rsidR="00491E62" w:rsidRDefault="00330332">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天津医科大学</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14:paraId="41B4AD49" w14:textId="77777777" w:rsidR="00491E62" w:rsidRDefault="0033033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14:paraId="3E038FDA" w14:textId="77777777" w:rsidR="00491E62" w:rsidRDefault="00330332">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14:paraId="2CD86FCF" w14:textId="658FA2BD" w:rsidR="00491E62" w:rsidRDefault="00330332">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200,000.00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200,000.00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100.00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严格按照预算进行支出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严控“三公”经费支出。</w:t>
      </w:r>
    </w:p>
    <w:p w14:paraId="091B31E8" w14:textId="77777777" w:rsidR="00491E62" w:rsidRDefault="00330332">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14:paraId="104B39BB" w14:textId="77777777" w:rsidR="00491E62" w:rsidRDefault="0033033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本年度未用财政拨款经费列支因公出国（境）费。</w:t>
      </w:r>
    </w:p>
    <w:p w14:paraId="087E5D1B" w14:textId="77777777" w:rsidR="00491E62" w:rsidRDefault="00330332">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7149C8EC" w14:textId="52630CF1" w:rsidR="00491E62" w:rsidRDefault="00330332">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lastRenderedPageBreak/>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200,000.00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200,000.00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100.00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严格按照预算进行支出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严控公务用车购置及运行维护经费支出。</w:t>
      </w:r>
      <w:r>
        <w:rPr>
          <w:rFonts w:ascii="Times New Roman" w:eastAsia="仿宋_GB2312" w:hAnsi="Times New Roman" w:cs="仿宋_GB2312" w:hint="eastAsia"/>
          <w:kern w:val="0"/>
          <w:sz w:val="30"/>
          <w:szCs w:val="30"/>
        </w:rPr>
        <w:t>其中：</w:t>
      </w:r>
    </w:p>
    <w:p w14:paraId="3406422A" w14:textId="3CF4630D" w:rsidR="00491E62" w:rsidRDefault="0033033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200,000.00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200,000.00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100.00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严格按照预算进行支出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严控公务用车运行维护经费支出。</w:t>
      </w:r>
    </w:p>
    <w:p w14:paraId="19EA7580" w14:textId="77777777" w:rsidR="00491E62" w:rsidRDefault="00330332">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15</w:t>
      </w:r>
      <w:r>
        <w:rPr>
          <w:rFonts w:ascii="Times New Roman" w:eastAsia="仿宋_GB2312" w:hAnsi="Times New Roman" w:cs="仿宋_GB2312" w:hint="eastAsia"/>
          <w:kern w:val="0"/>
          <w:sz w:val="30"/>
          <w:szCs w:val="30"/>
        </w:rPr>
        <w:t>辆。</w:t>
      </w:r>
    </w:p>
    <w:p w14:paraId="3EFC0931" w14:textId="77777777" w:rsidR="00491E62" w:rsidRDefault="0033033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p>
    <w:p w14:paraId="79A48416" w14:textId="77777777" w:rsidR="00491E62" w:rsidRDefault="0033033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14:paraId="261BCE02" w14:textId="77777777" w:rsidR="00491E62" w:rsidRDefault="00330332">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本年度未用财政拨款经费列支公务接待费。</w:t>
      </w:r>
    </w:p>
    <w:p w14:paraId="3BDC4A2C" w14:textId="77777777" w:rsidR="00491E62" w:rsidRDefault="00330332">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55A31371" w14:textId="77777777" w:rsidR="00491E62" w:rsidRDefault="0033033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十、机关运行经费支出情况说明</w:t>
      </w:r>
    </w:p>
    <w:p w14:paraId="56DEFF86" w14:textId="77777777" w:rsidR="00491E62" w:rsidRDefault="00330332">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天津医科大学</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w:t>
      </w:r>
      <w:proofErr w:type="gramStart"/>
      <w:r>
        <w:rPr>
          <w:rFonts w:ascii="Times New Roman" w:eastAsia="仿宋_GB2312" w:hAnsi="Times New Roman" w:cs="仿宋_GB2312" w:hint="eastAsia"/>
          <w:sz w:val="30"/>
          <w:szCs w:val="30"/>
        </w:rPr>
        <w:t>无机关</w:t>
      </w:r>
      <w:proofErr w:type="gramEnd"/>
      <w:r>
        <w:rPr>
          <w:rFonts w:ascii="Times New Roman" w:eastAsia="仿宋_GB2312" w:hAnsi="Times New Roman" w:cs="仿宋_GB2312" w:hint="eastAsia"/>
          <w:sz w:val="30"/>
          <w:szCs w:val="30"/>
        </w:rPr>
        <w:t>运行经费。</w:t>
      </w:r>
    </w:p>
    <w:p w14:paraId="628EA9CD" w14:textId="77777777" w:rsidR="00491E62" w:rsidRDefault="0033033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14:paraId="4A0A4EE7" w14:textId="77777777" w:rsidR="00491E62" w:rsidRDefault="00330332">
      <w:pPr>
        <w:autoSpaceDE w:val="0"/>
        <w:autoSpaceDN w:val="0"/>
        <w:adjustRightInd w:val="0"/>
        <w:spacing w:line="600" w:lineRule="exact"/>
        <w:ind w:firstLine="600"/>
        <w:jc w:val="left"/>
        <w:rPr>
          <w:rFonts w:ascii="Times New Roman" w:eastAsia="楷体" w:hAnsi="Times New Roman" w:cs="Times New Roman"/>
          <w:kern w:val="0"/>
          <w:sz w:val="30"/>
          <w:szCs w:val="30"/>
        </w:rPr>
      </w:pPr>
      <w:r>
        <w:rPr>
          <w:rFonts w:ascii="Times New Roman" w:eastAsia="仿宋_GB2312" w:hAnsi="Times New Roman" w:cs="仿宋_GB2312" w:hint="eastAsia"/>
          <w:color w:val="000000"/>
          <w:kern w:val="0"/>
          <w:sz w:val="30"/>
          <w:szCs w:val="30"/>
        </w:rPr>
        <w:t>天津医科大学</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70,488,939.79</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40,974,948.44</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8,188,300.00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21,325,691.35</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61,921,139.79</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87.85%</w:t>
      </w:r>
      <w:r>
        <w:rPr>
          <w:rFonts w:ascii="Times New Roman" w:eastAsia="仿宋_GB2312" w:hAnsi="Times New Roman" w:cs="仿宋_GB2312" w:hint="eastAsia"/>
          <w:color w:val="000000"/>
          <w:kern w:val="0"/>
          <w:sz w:val="30"/>
          <w:szCs w:val="30"/>
        </w:rPr>
        <w:t>，其中：授予小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46,740,514.35</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66.31%</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98.22</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14:paraId="30DD803E" w14:textId="77777777" w:rsidR="00491E62" w:rsidRDefault="0033033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14:paraId="4CFB1090" w14:textId="77777777" w:rsidR="00491E62" w:rsidRDefault="0033033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日，天津医科大学共有车辆</w:t>
      </w:r>
      <w:r>
        <w:rPr>
          <w:rFonts w:ascii="Times New Roman" w:eastAsia="仿宋_GB2312" w:hAnsi="Times New Roman" w:cs="Times New Roman" w:hint="eastAsia"/>
          <w:kern w:val="0"/>
          <w:sz w:val="30"/>
          <w:szCs w:val="30"/>
        </w:rPr>
        <w:t>20</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主要</w:t>
      </w:r>
      <w:r>
        <w:rPr>
          <w:rFonts w:ascii="Times New Roman" w:eastAsia="仿宋_GB2312" w:hAnsi="Times New Roman" w:cs="Times New Roman" w:hint="eastAsia"/>
          <w:kern w:val="0"/>
          <w:sz w:val="30"/>
          <w:szCs w:val="30"/>
        </w:rPr>
        <w:t>负责人</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2</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离退休干部</w:t>
      </w:r>
      <w:r>
        <w:rPr>
          <w:rFonts w:ascii="Times New Roman" w:eastAsia="仿宋_GB2312" w:hAnsi="Times New Roman" w:cs="Times New Roman" w:hint="eastAsia"/>
          <w:kern w:val="0"/>
          <w:sz w:val="30"/>
          <w:szCs w:val="30"/>
        </w:rPr>
        <w:t>服务</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1</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17</w:t>
      </w:r>
      <w:r>
        <w:rPr>
          <w:rFonts w:ascii="Times New Roman" w:eastAsia="仿宋_GB2312" w:hAnsi="Times New Roman" w:cs="Times New Roman"/>
          <w:kern w:val="0"/>
          <w:sz w:val="30"/>
          <w:szCs w:val="30"/>
        </w:rPr>
        <w:t>辆</w:t>
      </w:r>
      <w:r>
        <w:rPr>
          <w:rFonts w:ascii="Times New Roman" w:eastAsia="仿宋_GB2312" w:hAnsi="Times New Roman" w:cs="Times New Roman" w:hint="eastAsia"/>
          <w:kern w:val="0"/>
          <w:sz w:val="30"/>
          <w:szCs w:val="30"/>
        </w:rPr>
        <w:t>，其他用车主要包括</w:t>
      </w:r>
      <w:r>
        <w:rPr>
          <w:rFonts w:ascii="Times New Roman" w:eastAsia="仿宋_GB2312" w:hAnsi="Times New Roman" w:cs="仿宋_GB2312" w:hint="eastAsia"/>
          <w:sz w:val="30"/>
          <w:szCs w:val="30"/>
        </w:rPr>
        <w:t>机要用车、业务用车、外事用车、行政用车、后勤用车等</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103</w:t>
      </w:r>
      <w:r>
        <w:rPr>
          <w:rFonts w:ascii="Times New Roman" w:eastAsia="仿宋_GB2312" w:hAnsi="Times New Roman" w:cs="仿宋_GB2312" w:hint="eastAsia"/>
          <w:kern w:val="0"/>
          <w:sz w:val="30"/>
          <w:szCs w:val="30"/>
        </w:rPr>
        <w:t>台（套）。</w:t>
      </w:r>
    </w:p>
    <w:p w14:paraId="41E0B2F3" w14:textId="77777777" w:rsidR="00491E62" w:rsidRDefault="0033033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14:paraId="2032B946" w14:textId="77777777" w:rsidR="00491E62" w:rsidRDefault="0033033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根据预算绩效管理要求，天津医科大学</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20</w:t>
      </w:r>
      <w:r>
        <w:rPr>
          <w:rFonts w:ascii="Times New Roman" w:eastAsia="仿宋_GB2312" w:hAnsi="Times New Roman" w:cs="仿宋_GB2312" w:hint="eastAsia"/>
          <w:sz w:val="30"/>
          <w:szCs w:val="30"/>
        </w:rPr>
        <w:t>个市级项目开展绩效自评，涉及金额</w:t>
      </w:r>
      <w:r>
        <w:rPr>
          <w:rFonts w:ascii="Times New Roman" w:eastAsia="仿宋_GB2312" w:hAnsi="Times New Roman" w:cs="仿宋_GB2312" w:hint="eastAsia"/>
          <w:sz w:val="30"/>
          <w:szCs w:val="30"/>
        </w:rPr>
        <w:t>474,352,998.50</w:t>
      </w:r>
      <w:r>
        <w:rPr>
          <w:rFonts w:ascii="Times New Roman" w:eastAsia="仿宋_GB2312" w:hAnsi="Times New Roman" w:cs="仿宋_GB2312" w:hint="eastAsia"/>
          <w:sz w:val="30"/>
          <w:szCs w:val="30"/>
        </w:rPr>
        <w:t>元，自评结果已随部门决算一并公开。</w:t>
      </w:r>
    </w:p>
    <w:p w14:paraId="33036786" w14:textId="77777777" w:rsidR="00491E62" w:rsidRDefault="00330332">
      <w:pPr>
        <w:keepNext/>
        <w:keepLines/>
        <w:autoSpaceDE w:val="0"/>
        <w:autoSpaceDN w:val="0"/>
        <w:adjustRightInd w:val="0"/>
        <w:spacing w:line="600" w:lineRule="exact"/>
        <w:ind w:firstLine="602"/>
        <w:jc w:val="left"/>
        <w:outlineLvl w:val="1"/>
        <w:rPr>
          <w:rFonts w:ascii="Times New Roman" w:eastAsia="仿宋_GB2312" w:hAnsi="Times New Roman" w:cs="仿宋_GB2312"/>
          <w:kern w:val="0"/>
          <w:sz w:val="30"/>
          <w:szCs w:val="30"/>
        </w:rPr>
      </w:pPr>
      <w:r>
        <w:rPr>
          <w:rFonts w:ascii="Times New Roman" w:eastAsia="黑体" w:hAnsi="Times New Roman" w:cs="黑体" w:hint="eastAsia"/>
          <w:b/>
          <w:bCs/>
          <w:kern w:val="0"/>
          <w:sz w:val="30"/>
          <w:szCs w:val="30"/>
          <w:lang w:val="zh-CN"/>
        </w:rPr>
        <w:lastRenderedPageBreak/>
        <w:t>十四、</w:t>
      </w:r>
      <w:r>
        <w:rPr>
          <w:rFonts w:ascii="Times New Roman" w:eastAsia="黑体" w:hAnsi="Times New Roman" w:cs="黑体" w:hint="eastAsia"/>
          <w:b/>
          <w:bCs/>
          <w:kern w:val="0"/>
          <w:sz w:val="30"/>
          <w:szCs w:val="30"/>
        </w:rPr>
        <w:t>教育、医疗卫生、社会保障和就业、住房保障、涉农补贴等民生支出情况说明</w:t>
      </w:r>
    </w:p>
    <w:p w14:paraId="1BD24166" w14:textId="77777777" w:rsidR="00491E62" w:rsidRDefault="0033033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天津医科大学不属于乡、镇、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14:paraId="54EC672A" w14:textId="77777777" w:rsidR="00491E62" w:rsidRDefault="00330332">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14:paraId="0ED331F1" w14:textId="77777777" w:rsidR="00491E62" w:rsidRDefault="00330332">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14:paraId="4208564A" w14:textId="77777777" w:rsidR="00491E62" w:rsidRDefault="00491E62">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14:paraId="03528899" w14:textId="77777777" w:rsidR="00491E62" w:rsidRDefault="0033033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431C722F" w14:textId="77777777" w:rsidR="00491E62" w:rsidRDefault="0033033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872F2EA" w14:textId="77777777" w:rsidR="00491E62" w:rsidRDefault="00330332">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491E6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MjgxYzJhODgwZTQ1NzBkMmQxYzViNTgzNWEyNT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30332"/>
    <w:rsid w:val="003536BE"/>
    <w:rsid w:val="003B25FB"/>
    <w:rsid w:val="00491E62"/>
    <w:rsid w:val="004A482F"/>
    <w:rsid w:val="004F39BF"/>
    <w:rsid w:val="005062D7"/>
    <w:rsid w:val="005175E6"/>
    <w:rsid w:val="00525157"/>
    <w:rsid w:val="005349A2"/>
    <w:rsid w:val="00575537"/>
    <w:rsid w:val="005D1367"/>
    <w:rsid w:val="005D3F56"/>
    <w:rsid w:val="00654D17"/>
    <w:rsid w:val="006623EC"/>
    <w:rsid w:val="00677C80"/>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0F23E89"/>
    <w:rsid w:val="017D4A3B"/>
    <w:rsid w:val="01A10E80"/>
    <w:rsid w:val="029D518A"/>
    <w:rsid w:val="03311B3F"/>
    <w:rsid w:val="03901927"/>
    <w:rsid w:val="05CA273A"/>
    <w:rsid w:val="05E55C53"/>
    <w:rsid w:val="069A035E"/>
    <w:rsid w:val="07267E44"/>
    <w:rsid w:val="07425D24"/>
    <w:rsid w:val="07A23238"/>
    <w:rsid w:val="08564759"/>
    <w:rsid w:val="085D1644"/>
    <w:rsid w:val="0A20501F"/>
    <w:rsid w:val="0A4E393A"/>
    <w:rsid w:val="0A7D5D1A"/>
    <w:rsid w:val="0A7E1D45"/>
    <w:rsid w:val="0AF018E5"/>
    <w:rsid w:val="0B1428B6"/>
    <w:rsid w:val="0B2716A6"/>
    <w:rsid w:val="0B2E72C7"/>
    <w:rsid w:val="0C411F0C"/>
    <w:rsid w:val="0CDD71F7"/>
    <w:rsid w:val="0D664210"/>
    <w:rsid w:val="0DA7267B"/>
    <w:rsid w:val="0DFB4FC0"/>
    <w:rsid w:val="0E0B7D94"/>
    <w:rsid w:val="0E267459"/>
    <w:rsid w:val="0EBB5316"/>
    <w:rsid w:val="0F4936D8"/>
    <w:rsid w:val="0F73799F"/>
    <w:rsid w:val="0FC42B69"/>
    <w:rsid w:val="0FF22FB9"/>
    <w:rsid w:val="118916FB"/>
    <w:rsid w:val="11DF7CF5"/>
    <w:rsid w:val="1221675E"/>
    <w:rsid w:val="12C34799"/>
    <w:rsid w:val="12D93FBD"/>
    <w:rsid w:val="13463246"/>
    <w:rsid w:val="142D4C1F"/>
    <w:rsid w:val="15F1161D"/>
    <w:rsid w:val="161D1413"/>
    <w:rsid w:val="1666200B"/>
    <w:rsid w:val="169F1079"/>
    <w:rsid w:val="16C5644A"/>
    <w:rsid w:val="16D76A65"/>
    <w:rsid w:val="17C84C4C"/>
    <w:rsid w:val="187622AE"/>
    <w:rsid w:val="1949378C"/>
    <w:rsid w:val="199A3054"/>
    <w:rsid w:val="1A1104E0"/>
    <w:rsid w:val="1A404E9F"/>
    <w:rsid w:val="1A8A3DEE"/>
    <w:rsid w:val="1AA54268"/>
    <w:rsid w:val="1ACB4B33"/>
    <w:rsid w:val="1B173F14"/>
    <w:rsid w:val="1B4641B9"/>
    <w:rsid w:val="1B520DB0"/>
    <w:rsid w:val="1B5D5A1E"/>
    <w:rsid w:val="1B7A68EC"/>
    <w:rsid w:val="1CCA277E"/>
    <w:rsid w:val="1DFB572F"/>
    <w:rsid w:val="1EC475AC"/>
    <w:rsid w:val="1EC5396A"/>
    <w:rsid w:val="1EFB0588"/>
    <w:rsid w:val="20DB5BFD"/>
    <w:rsid w:val="21365D81"/>
    <w:rsid w:val="21425423"/>
    <w:rsid w:val="21556D90"/>
    <w:rsid w:val="21C24E94"/>
    <w:rsid w:val="21D73FEC"/>
    <w:rsid w:val="23736675"/>
    <w:rsid w:val="24B227A0"/>
    <w:rsid w:val="24D87CA0"/>
    <w:rsid w:val="25BA7C7E"/>
    <w:rsid w:val="2666570F"/>
    <w:rsid w:val="26DB4B05"/>
    <w:rsid w:val="26DE799C"/>
    <w:rsid w:val="271B299E"/>
    <w:rsid w:val="27DD7C53"/>
    <w:rsid w:val="284E3F62"/>
    <w:rsid w:val="28612632"/>
    <w:rsid w:val="2A924D25"/>
    <w:rsid w:val="2B4941D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17E24A7"/>
    <w:rsid w:val="32146967"/>
    <w:rsid w:val="322F37A1"/>
    <w:rsid w:val="32443D30"/>
    <w:rsid w:val="32672F3B"/>
    <w:rsid w:val="33032C66"/>
    <w:rsid w:val="332D3FC0"/>
    <w:rsid w:val="33BF137E"/>
    <w:rsid w:val="33F86541"/>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906309"/>
    <w:rsid w:val="43B835F7"/>
    <w:rsid w:val="44552CED"/>
    <w:rsid w:val="44EB17AA"/>
    <w:rsid w:val="45984C48"/>
    <w:rsid w:val="47727F60"/>
    <w:rsid w:val="485D29BF"/>
    <w:rsid w:val="48ED0B35"/>
    <w:rsid w:val="49374433"/>
    <w:rsid w:val="49DA103E"/>
    <w:rsid w:val="4A2319E6"/>
    <w:rsid w:val="4A8E57CD"/>
    <w:rsid w:val="4A946440"/>
    <w:rsid w:val="4AA93C99"/>
    <w:rsid w:val="4C8A0E99"/>
    <w:rsid w:val="4CA13CE1"/>
    <w:rsid w:val="4CD450D8"/>
    <w:rsid w:val="4D14664A"/>
    <w:rsid w:val="4D210FC7"/>
    <w:rsid w:val="4D2E3B8B"/>
    <w:rsid w:val="4D720D77"/>
    <w:rsid w:val="4DB9688D"/>
    <w:rsid w:val="4E4E3945"/>
    <w:rsid w:val="4E8C7B5A"/>
    <w:rsid w:val="4F167E2F"/>
    <w:rsid w:val="4F391364"/>
    <w:rsid w:val="4FA424E7"/>
    <w:rsid w:val="4FBD62FD"/>
    <w:rsid w:val="4FD337AC"/>
    <w:rsid w:val="4FE523CE"/>
    <w:rsid w:val="506C719D"/>
    <w:rsid w:val="51CB6BEB"/>
    <w:rsid w:val="5236167C"/>
    <w:rsid w:val="52A37398"/>
    <w:rsid w:val="53C102A5"/>
    <w:rsid w:val="53D855EF"/>
    <w:rsid w:val="54380029"/>
    <w:rsid w:val="54A61249"/>
    <w:rsid w:val="54F16968"/>
    <w:rsid w:val="55AC416B"/>
    <w:rsid w:val="564C0516"/>
    <w:rsid w:val="565D3B8A"/>
    <w:rsid w:val="5713248B"/>
    <w:rsid w:val="57833AC4"/>
    <w:rsid w:val="578735B4"/>
    <w:rsid w:val="57A37CC2"/>
    <w:rsid w:val="58C3061C"/>
    <w:rsid w:val="58E93DFA"/>
    <w:rsid w:val="599E4BE5"/>
    <w:rsid w:val="5A1C0F73"/>
    <w:rsid w:val="5A964C59"/>
    <w:rsid w:val="5B975D90"/>
    <w:rsid w:val="5C170425"/>
    <w:rsid w:val="5C983B6D"/>
    <w:rsid w:val="5CD612EB"/>
    <w:rsid w:val="5D032E6E"/>
    <w:rsid w:val="5DC66F7C"/>
    <w:rsid w:val="5DFB2606"/>
    <w:rsid w:val="5E015742"/>
    <w:rsid w:val="5EB1144C"/>
    <w:rsid w:val="5EF37781"/>
    <w:rsid w:val="5F6D7131"/>
    <w:rsid w:val="5F7856C5"/>
    <w:rsid w:val="5FF67529"/>
    <w:rsid w:val="5FF7504F"/>
    <w:rsid w:val="615900E7"/>
    <w:rsid w:val="61D75AE1"/>
    <w:rsid w:val="620B43D3"/>
    <w:rsid w:val="624C1682"/>
    <w:rsid w:val="63974B7F"/>
    <w:rsid w:val="63B80927"/>
    <w:rsid w:val="63D626B9"/>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3F52B4"/>
    <w:rsid w:val="73724CC1"/>
    <w:rsid w:val="73E21E46"/>
    <w:rsid w:val="7455465F"/>
    <w:rsid w:val="75AB44BA"/>
    <w:rsid w:val="79B7155B"/>
    <w:rsid w:val="79DC07A5"/>
    <w:rsid w:val="7AB707CC"/>
    <w:rsid w:val="7ACA53E2"/>
    <w:rsid w:val="7B143565"/>
    <w:rsid w:val="7E2E7A36"/>
    <w:rsid w:val="7E703A39"/>
    <w:rsid w:val="7F3217A8"/>
    <w:rsid w:val="7F89761A"/>
    <w:rsid w:val="7F936680"/>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Pr>
      <w:rFonts w:ascii="方正小标宋简体" w:eastAsia="方正小标宋简体"/>
      <w:kern w:val="0"/>
      <w:sz w:val="24"/>
      <w:szCs w:val="24"/>
    </w:rPr>
  </w:style>
  <w:style w:type="character" w:customStyle="1" w:styleId="2Char">
    <w:name w:val="标题 2 Char"/>
    <w:basedOn w:val="a0"/>
    <w:link w:val="2"/>
    <w:autoRedefine/>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autoRedefine/>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Pr>
      <w:rFonts w:ascii="方正小标宋简体" w:eastAsia="方正小标宋简体"/>
      <w:kern w:val="0"/>
      <w:sz w:val="24"/>
      <w:szCs w:val="24"/>
    </w:rPr>
  </w:style>
  <w:style w:type="character" w:customStyle="1" w:styleId="2Char">
    <w:name w:val="标题 2 Char"/>
    <w:basedOn w:val="a0"/>
    <w:link w:val="2"/>
    <w:autoRedefine/>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15</Pages>
  <Words>912</Words>
  <Characters>5202</Characters>
  <Application>Microsoft Office Word</Application>
  <DocSecurity>0</DocSecurity>
  <Lines>43</Lines>
  <Paragraphs>12</Paragraphs>
  <ScaleCrop>false</ScaleCrop>
  <Company>Microsoft</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AutoBVT</cp:lastModifiedBy>
  <cp:revision>63</cp:revision>
  <dcterms:created xsi:type="dcterms:W3CDTF">2023-08-11T08:11:00Z</dcterms:created>
  <dcterms:modified xsi:type="dcterms:W3CDTF">2024-09-18T02:15:00Z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A44E0A178634409BBBA50D5636087390_13</vt:lpwstr>
  </property>
</Properties>
</file>