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ascii="宋体" w:hAnsi="宋体"/>
          <w:b/>
          <w:sz w:val="28"/>
          <w:u w:val="single"/>
        </w:rPr>
        <w:t>__临 床 药 理 学__</w:t>
      </w:r>
      <w:r>
        <w:rPr>
          <w:rFonts w:hint="eastAsia"/>
          <w:b/>
          <w:sz w:val="28"/>
        </w:rPr>
        <w:t xml:space="preserve">课 程 指 南 </w:t>
      </w:r>
    </w:p>
    <w:p>
      <w:pPr>
        <w:spacing w:line="360" w:lineRule="auto"/>
        <w:jc w:val="center"/>
        <w:rPr>
          <w:b/>
          <w:sz w:val="28"/>
        </w:rPr>
      </w:pPr>
    </w:p>
    <w:p>
      <w:pPr>
        <w:adjustRightInd w:val="0"/>
        <w:snapToGrid w:val="0"/>
        <w:spacing w:line="360" w:lineRule="auto"/>
        <w:ind w:firstLine="422" w:firstLineChars="200"/>
        <w:rPr>
          <w:szCs w:val="21"/>
        </w:rPr>
      </w:pPr>
      <w:r>
        <w:rPr>
          <w:rFonts w:hint="eastAsia"/>
          <w:b/>
          <w:szCs w:val="21"/>
        </w:rPr>
        <w:t xml:space="preserve">一、课程信息 </w:t>
      </w:r>
      <w:r>
        <w:rPr>
          <w:b/>
          <w:szCs w:val="21"/>
        </w:rPr>
        <w:t xml:space="preserve">   </w:t>
      </w:r>
      <w:r>
        <w:rPr>
          <w:rFonts w:hint="eastAsia"/>
          <w:b/>
          <w:szCs w:val="21"/>
        </w:rPr>
        <w:t>课程编号：</w:t>
      </w:r>
      <w:r>
        <w:rPr>
          <w:szCs w:val="21"/>
        </w:rPr>
        <w:t>1906007006</w:t>
      </w:r>
      <w:r>
        <w:rPr>
          <w:rFonts w:hint="eastAsia"/>
          <w:szCs w:val="21"/>
        </w:rPr>
        <w:t xml:space="preserve"> </w:t>
      </w:r>
      <w:r>
        <w:rPr>
          <w:szCs w:val="21"/>
        </w:rPr>
        <w:t xml:space="preserve">    </w:t>
      </w:r>
      <w:r>
        <w:rPr>
          <w:rFonts w:hint="eastAsia"/>
          <w:b/>
          <w:szCs w:val="21"/>
        </w:rPr>
        <w:t>中文：</w:t>
      </w:r>
      <w:r>
        <w:rPr>
          <w:rFonts w:hint="eastAsia"/>
          <w:szCs w:val="21"/>
        </w:rPr>
        <w:t xml:space="preserve">临床药理学 </w:t>
      </w:r>
    </w:p>
    <w:p>
      <w:pPr>
        <w:adjustRightInd w:val="0"/>
        <w:snapToGrid w:val="0"/>
        <w:spacing w:line="360" w:lineRule="auto"/>
        <w:ind w:firstLine="4743" w:firstLineChars="2250"/>
        <w:rPr>
          <w:szCs w:val="21"/>
        </w:rPr>
      </w:pPr>
      <w:r>
        <w:rPr>
          <w:rFonts w:hint="eastAsia"/>
          <w:b/>
          <w:szCs w:val="21"/>
        </w:rPr>
        <w:t>英文：</w:t>
      </w:r>
      <w:r>
        <w:rPr>
          <w:rFonts w:hint="eastAsia"/>
        </w:rPr>
        <w:t>C</w:t>
      </w:r>
      <w:r>
        <w:t xml:space="preserve">linical </w:t>
      </w:r>
      <w:r>
        <w:rPr>
          <w:rFonts w:hint="eastAsia"/>
        </w:rPr>
        <w:t>P</w:t>
      </w:r>
      <w:r>
        <w:t>harmacology</w:t>
      </w:r>
    </w:p>
    <w:p>
      <w:pPr>
        <w:adjustRightInd w:val="0"/>
        <w:snapToGrid w:val="0"/>
        <w:spacing w:line="360" w:lineRule="auto"/>
        <w:ind w:firstLine="422" w:firstLineChars="200"/>
        <w:rPr>
          <w:szCs w:val="21"/>
        </w:rPr>
      </w:pPr>
      <w:r>
        <w:rPr>
          <w:rFonts w:hint="eastAsia"/>
          <w:b/>
          <w:szCs w:val="21"/>
        </w:rPr>
        <w:t>二、开课学院（系）、</w:t>
      </w:r>
      <w:r>
        <w:rPr>
          <w:rFonts w:hint="eastAsia"/>
          <w:b/>
        </w:rPr>
        <w:t>系（教研室）</w:t>
      </w:r>
      <w:r>
        <w:rPr>
          <w:rFonts w:hint="eastAsia"/>
          <w:b/>
          <w:szCs w:val="21"/>
        </w:rPr>
        <w:t>：</w:t>
      </w:r>
      <w:r>
        <w:rPr>
          <w:rFonts w:hint="eastAsia"/>
          <w:szCs w:val="21"/>
        </w:rPr>
        <w:t xml:space="preserve">药学院临床药学系           </w:t>
      </w:r>
    </w:p>
    <w:p>
      <w:pPr>
        <w:adjustRightInd w:val="0"/>
        <w:snapToGrid w:val="0"/>
        <w:spacing w:line="360" w:lineRule="auto"/>
        <w:ind w:firstLine="422" w:firstLineChars="200"/>
        <w:rPr>
          <w:b/>
        </w:rPr>
      </w:pPr>
      <w:r>
        <w:rPr>
          <w:rFonts w:hint="eastAsia"/>
          <w:b/>
          <w:szCs w:val="21"/>
        </w:rPr>
        <w:t>三、学时学分：</w:t>
      </w:r>
      <w:r>
        <w:rPr>
          <w:rFonts w:hint="eastAsia"/>
          <w:b/>
        </w:rPr>
        <w:t>学分：</w:t>
      </w:r>
      <w:r>
        <w:rPr>
          <w:b/>
        </w:rPr>
        <w:t>4</w:t>
      </w:r>
      <w:r>
        <w:rPr>
          <w:rFonts w:hint="eastAsia"/>
          <w:b/>
        </w:rPr>
        <w:t>； 总学时：</w:t>
      </w:r>
      <w:r>
        <w:rPr>
          <w:b/>
        </w:rPr>
        <w:t>72</w:t>
      </w:r>
      <w:r>
        <w:rPr>
          <w:rFonts w:hint="eastAsia"/>
          <w:b/>
        </w:rPr>
        <w:t>； 理论学时：</w:t>
      </w:r>
      <w:r>
        <w:rPr>
          <w:b/>
        </w:rPr>
        <w:t>56</w:t>
      </w:r>
      <w:r>
        <w:rPr>
          <w:rFonts w:hint="eastAsia"/>
          <w:b/>
          <w:lang w:eastAsia="zh-CN"/>
        </w:rPr>
        <w:t>（含</w:t>
      </w:r>
      <w:r>
        <w:rPr>
          <w:b/>
        </w:rPr>
        <w:t>自主学习学时：</w:t>
      </w:r>
      <w:r>
        <w:rPr>
          <w:rFonts w:hint="eastAsia"/>
          <w:b/>
        </w:rPr>
        <w:t>4</w:t>
      </w:r>
    </w:p>
    <w:p>
      <w:pPr>
        <w:adjustRightInd w:val="0"/>
        <w:snapToGrid w:val="0"/>
        <w:spacing w:line="360" w:lineRule="auto"/>
        <w:ind w:firstLine="422" w:firstLineChars="200"/>
        <w:rPr>
          <w:rFonts w:hint="eastAsia"/>
          <w:b/>
          <w:lang w:eastAsia="zh-CN"/>
        </w:rPr>
      </w:pPr>
      <w:r>
        <w:rPr>
          <w:rFonts w:hint="eastAsia"/>
          <w:b/>
          <w:lang w:eastAsia="zh-CN"/>
        </w:rPr>
        <w:t>）</w:t>
      </w:r>
      <w:r>
        <w:rPr>
          <w:rFonts w:hint="eastAsia"/>
          <w:b/>
        </w:rPr>
        <w:t>；实验或实践学时：</w:t>
      </w:r>
      <w:r>
        <w:rPr>
          <w:b/>
        </w:rPr>
        <w:t>16</w:t>
      </w:r>
      <w:r>
        <w:rPr>
          <w:rFonts w:hint="eastAsia"/>
          <w:b/>
          <w:lang w:eastAsia="zh-CN"/>
        </w:rPr>
        <w:t>。</w:t>
      </w:r>
    </w:p>
    <w:p>
      <w:pPr>
        <w:adjustRightInd w:val="0"/>
        <w:snapToGrid w:val="0"/>
        <w:spacing w:line="360" w:lineRule="auto"/>
        <w:ind w:firstLine="422" w:firstLineChars="200"/>
        <w:rPr>
          <w:szCs w:val="21"/>
        </w:rPr>
      </w:pPr>
      <w:bookmarkStart w:id="0" w:name="_GoBack"/>
      <w:bookmarkEnd w:id="0"/>
      <w:r>
        <w:rPr>
          <w:rFonts w:hint="eastAsia"/>
          <w:b/>
          <w:szCs w:val="21"/>
        </w:rPr>
        <w:t>四、</w:t>
      </w:r>
      <w:r>
        <w:rPr>
          <w:rFonts w:hint="eastAsia"/>
          <w:b/>
        </w:rPr>
        <w:t>授课对象： 临床药学（本科）专业</w:t>
      </w:r>
    </w:p>
    <w:p>
      <w:pPr>
        <w:adjustRightInd w:val="0"/>
        <w:snapToGrid w:val="0"/>
        <w:spacing w:line="360" w:lineRule="auto"/>
        <w:ind w:firstLine="422" w:firstLineChars="200"/>
        <w:rPr>
          <w:b/>
          <w:szCs w:val="21"/>
        </w:rPr>
      </w:pPr>
      <w:r>
        <w:rPr>
          <w:rFonts w:hint="eastAsia"/>
          <w:b/>
          <w:szCs w:val="21"/>
        </w:rPr>
        <w:t>五、课程基本内容简介</w:t>
      </w:r>
    </w:p>
    <w:p>
      <w:pPr>
        <w:adjustRightInd w:val="0"/>
        <w:snapToGrid w:val="0"/>
        <w:spacing w:line="360" w:lineRule="auto"/>
        <w:ind w:firstLine="420" w:firstLineChars="200"/>
        <w:rPr>
          <w:szCs w:val="21"/>
        </w:rPr>
      </w:pPr>
      <w:r>
        <w:rPr>
          <w:rFonts w:hint="eastAsia"/>
        </w:rPr>
        <w:t>临床药理学是研究药物与人体相互作用规律的一门学科，它以药理学和临床医学为基础，阐述药物代谢动力学（简称药动学）、药物效应动力学（简称药效学）、毒副反应的性质和机制及药物相互作用规律等内容。本课程是</w:t>
      </w:r>
      <w:r>
        <w:t>临床药学专业的专业核心课程</w:t>
      </w:r>
      <w:r>
        <w:rPr>
          <w:rFonts w:hint="eastAsia"/>
        </w:rPr>
        <w:t>，紧紧围绕临床合理用药的核心宗旨，立足临床个体化用药的理论和方法这个重点和难点，课程内容分总论和各论两大部分，涵盖了当今临床药理学所涉及的主要方面。总论内容主要有：临床药理学概述、临床药效学、新药临床研究、时间药理学、特殊人群（妊娠期、哺乳期妇女、新生儿和儿童、老年人）合理用药、疾病状态下的合理用药、药物不良反应与药源性疾病、治疗药物监测与</w:t>
      </w:r>
      <w:r>
        <w:t>个体化给药</w:t>
      </w:r>
      <w:r>
        <w:rPr>
          <w:rFonts w:hint="eastAsia"/>
        </w:rPr>
        <w:t>、药物相互作用，遗传药理学、抗菌药物合理用药等；各论围绕着临床内科常用药物，分别介绍了高血压的临床用药、冠心病的临床用药、心力衰竭的临床用药、糖尿病的临床用药等内容。本课程内容是今后从事临床药学、</w:t>
      </w:r>
      <w:r>
        <w:t>药学</w:t>
      </w:r>
      <w:r>
        <w:rPr>
          <w:rFonts w:hint="eastAsia"/>
        </w:rPr>
        <w:t>服务</w:t>
      </w:r>
      <w:r>
        <w:t>与监护</w:t>
      </w:r>
      <w:r>
        <w:rPr>
          <w:rFonts w:hint="eastAsia"/>
        </w:rPr>
        <w:t>工作的药学人员必备的知识和</w:t>
      </w:r>
      <w:r>
        <w:t>技能</w:t>
      </w:r>
      <w:r>
        <w:rPr>
          <w:rFonts w:hint="eastAsia"/>
        </w:rPr>
        <w:t>。</w:t>
      </w:r>
    </w:p>
    <w:p>
      <w:pPr>
        <w:adjustRightInd w:val="0"/>
        <w:snapToGrid w:val="0"/>
        <w:spacing w:line="360" w:lineRule="auto"/>
        <w:ind w:firstLine="420" w:firstLineChars="200"/>
        <w:rPr>
          <w:b/>
        </w:rPr>
      </w:pPr>
      <w:r>
        <w:rPr>
          <w:rFonts w:hint="eastAsia"/>
        </w:rPr>
        <w:t>学习本课程有助于临床药学专业学生强化药物</w:t>
      </w:r>
      <w:r>
        <w:t>作用</w:t>
      </w:r>
      <w:r>
        <w:rPr>
          <w:rFonts w:hint="eastAsia"/>
        </w:rPr>
        <w:t>的</w:t>
      </w:r>
      <w:r>
        <w:t>知识，掌握合理用药</w:t>
      </w:r>
      <w:r>
        <w:rPr>
          <w:rFonts w:hint="eastAsia"/>
        </w:rPr>
        <w:t>的</w:t>
      </w:r>
      <w:r>
        <w:t>专业技能</w:t>
      </w:r>
      <w:r>
        <w:rPr>
          <w:rFonts w:hint="eastAsia"/>
        </w:rPr>
        <w:t>，为今后</w:t>
      </w:r>
      <w:r>
        <w:t>从事</w:t>
      </w:r>
      <w:r>
        <w:rPr>
          <w:rFonts w:hint="eastAsia"/>
        </w:rPr>
        <w:t>临床药学工作，提供药学服务与监护工作，</w:t>
      </w:r>
      <w:r>
        <w:t>或</w:t>
      </w:r>
      <w:r>
        <w:rPr>
          <w:rFonts w:hint="eastAsia"/>
        </w:rPr>
        <w:t>从事新药研发和开展药物</w:t>
      </w:r>
      <w:r>
        <w:t>的</w:t>
      </w:r>
      <w:r>
        <w:rPr>
          <w:rFonts w:hint="eastAsia"/>
        </w:rPr>
        <w:t>临床药理学研究奠定</w:t>
      </w:r>
      <w:r>
        <w:t>基础</w:t>
      </w:r>
      <w:r>
        <w:rPr>
          <w:rFonts w:hint="eastAsia"/>
        </w:rPr>
        <w:t>。</w:t>
      </w:r>
    </w:p>
    <w:p>
      <w:pPr>
        <w:adjustRightInd w:val="0"/>
        <w:snapToGrid w:val="0"/>
        <w:spacing w:line="360" w:lineRule="auto"/>
        <w:ind w:firstLine="422" w:firstLineChars="200"/>
        <w:rPr>
          <w:b/>
          <w:szCs w:val="21"/>
        </w:rPr>
      </w:pPr>
      <w:r>
        <w:rPr>
          <w:rFonts w:hint="eastAsia"/>
          <w:b/>
          <w:szCs w:val="21"/>
        </w:rPr>
        <w:t>六、</w:t>
      </w:r>
      <w:r>
        <w:rPr>
          <w:rFonts w:hint="eastAsia"/>
          <w:b/>
        </w:rPr>
        <w:t>教学目标</w:t>
      </w:r>
    </w:p>
    <w:p>
      <w:pPr>
        <w:adjustRightInd w:val="0"/>
        <w:snapToGrid w:val="0"/>
        <w:spacing w:line="360" w:lineRule="auto"/>
        <w:ind w:firstLine="422" w:firstLineChars="200"/>
        <w:rPr>
          <w:b/>
          <w:szCs w:val="21"/>
        </w:rPr>
      </w:pPr>
      <w:r>
        <w:rPr>
          <w:rFonts w:hint="eastAsia"/>
          <w:b/>
          <w:szCs w:val="21"/>
        </w:rPr>
        <w:t>1.知识学习目标</w:t>
      </w:r>
    </w:p>
    <w:p>
      <w:pPr>
        <w:adjustRightInd w:val="0"/>
        <w:snapToGrid w:val="0"/>
        <w:spacing w:line="360" w:lineRule="auto"/>
        <w:ind w:firstLine="420" w:firstLineChars="200"/>
      </w:pPr>
      <w:r>
        <w:t>通过本课程学习，</w:t>
      </w:r>
      <w:r>
        <w:rPr>
          <w:rFonts w:hint="eastAsia"/>
        </w:rPr>
        <w:t>学生应</w:t>
      </w:r>
      <w:r>
        <w:t>掌握</w:t>
      </w:r>
      <w:r>
        <w:rPr>
          <w:rFonts w:hint="eastAsia"/>
        </w:rPr>
        <w:t>与</w:t>
      </w:r>
      <w:r>
        <w:t>临床合理用药和药物评价相关的</w:t>
      </w:r>
      <w:r>
        <w:rPr>
          <w:rFonts w:hint="eastAsia"/>
        </w:rPr>
        <w:t>药效学</w:t>
      </w:r>
      <w:r>
        <w:t>、治疗药物监测、</w:t>
      </w:r>
      <w:r>
        <w:rPr>
          <w:rFonts w:hint="eastAsia"/>
        </w:rPr>
        <w:t>个体化</w:t>
      </w:r>
      <w:r>
        <w:t>给药、特殊人群合理用药、</w:t>
      </w:r>
      <w:r>
        <w:rPr>
          <w:rFonts w:hint="eastAsia"/>
        </w:rPr>
        <w:t>疾病状态下的合理用药、</w:t>
      </w:r>
      <w:r>
        <w:t>抗菌药物合理使用、药物相互作用、药物不良反应监测</w:t>
      </w:r>
      <w:r>
        <w:rPr>
          <w:rFonts w:hint="eastAsia"/>
        </w:rPr>
        <w:t>与</w:t>
      </w:r>
      <w:r>
        <w:t>药物</w:t>
      </w:r>
      <w:r>
        <w:rPr>
          <w:rFonts w:hint="eastAsia"/>
        </w:rPr>
        <w:t>安全性</w:t>
      </w:r>
      <w:r>
        <w:t>评价、遗传因素</w:t>
      </w:r>
      <w:r>
        <w:rPr>
          <w:rFonts w:hint="eastAsia"/>
        </w:rPr>
        <w:t>对</w:t>
      </w:r>
      <w:r>
        <w:t>药物作用</w:t>
      </w:r>
      <w:r>
        <w:rPr>
          <w:rFonts w:hint="eastAsia"/>
        </w:rPr>
        <w:t>的</w:t>
      </w:r>
      <w:r>
        <w:t>影响、</w:t>
      </w:r>
      <w:r>
        <w:rPr>
          <w:rFonts w:hint="eastAsia"/>
        </w:rPr>
        <w:t>常见慢性</w:t>
      </w:r>
      <w:r>
        <w:t>心血管疾病</w:t>
      </w:r>
      <w:r>
        <w:rPr>
          <w:rFonts w:hint="eastAsia"/>
        </w:rPr>
        <w:t>和</w:t>
      </w:r>
      <w:r>
        <w:t>代谢性疾病的药物作用和合理用药</w:t>
      </w:r>
      <w:r>
        <w:rPr>
          <w:rFonts w:hint="eastAsia"/>
        </w:rPr>
        <w:t>的</w:t>
      </w:r>
      <w:r>
        <w:t>知识。</w:t>
      </w:r>
    </w:p>
    <w:p>
      <w:pPr>
        <w:adjustRightInd w:val="0"/>
        <w:snapToGrid w:val="0"/>
        <w:spacing w:line="360" w:lineRule="auto"/>
        <w:ind w:firstLine="422" w:firstLineChars="200"/>
        <w:rPr>
          <w:b/>
          <w:szCs w:val="21"/>
        </w:rPr>
      </w:pPr>
      <w:r>
        <w:rPr>
          <w:rFonts w:hint="eastAsia"/>
          <w:b/>
          <w:szCs w:val="21"/>
        </w:rPr>
        <w:t>2.技能学习目标</w:t>
      </w:r>
    </w:p>
    <w:p>
      <w:pPr>
        <w:adjustRightInd w:val="0"/>
        <w:snapToGrid w:val="0"/>
        <w:spacing w:line="360" w:lineRule="auto"/>
        <w:ind w:firstLine="420" w:firstLineChars="200"/>
        <w:rPr>
          <w:szCs w:val="21"/>
        </w:rPr>
      </w:pPr>
      <w:r>
        <w:rPr>
          <w:szCs w:val="21"/>
        </w:rPr>
        <w:t>学生应</w:t>
      </w:r>
      <w:r>
        <w:rPr>
          <w:rFonts w:hint="eastAsia"/>
          <w:szCs w:val="21"/>
        </w:rPr>
        <w:t>具备利用</w:t>
      </w:r>
      <w:r>
        <w:rPr>
          <w:szCs w:val="21"/>
        </w:rPr>
        <w:t>、研究</w:t>
      </w:r>
      <w:r>
        <w:rPr>
          <w:rFonts w:hint="eastAsia"/>
          <w:szCs w:val="21"/>
        </w:rPr>
        <w:t>和</w:t>
      </w:r>
      <w:r>
        <w:rPr>
          <w:szCs w:val="21"/>
        </w:rPr>
        <w:t>评价药物</w:t>
      </w:r>
      <w:r>
        <w:rPr>
          <w:rFonts w:hint="eastAsia"/>
          <w:szCs w:val="21"/>
        </w:rPr>
        <w:t>在</w:t>
      </w:r>
      <w:r>
        <w:rPr>
          <w:szCs w:val="21"/>
        </w:rPr>
        <w:t>人体内的药效学和药动学规律</w:t>
      </w:r>
      <w:r>
        <w:rPr>
          <w:rFonts w:hint="eastAsia"/>
          <w:szCs w:val="21"/>
        </w:rPr>
        <w:t>的技能；应具备制定</w:t>
      </w:r>
      <w:r>
        <w:rPr>
          <w:szCs w:val="21"/>
        </w:rPr>
        <w:t>和调整给药方案</w:t>
      </w:r>
      <w:r>
        <w:rPr>
          <w:rFonts w:hint="eastAsia"/>
          <w:szCs w:val="21"/>
        </w:rPr>
        <w:t>、</w:t>
      </w:r>
      <w:r>
        <w:rPr>
          <w:szCs w:val="21"/>
        </w:rPr>
        <w:t>开展治疗药物监测、实施个体化给药的能力</w:t>
      </w:r>
      <w:r>
        <w:rPr>
          <w:rFonts w:hint="eastAsia"/>
          <w:szCs w:val="21"/>
        </w:rPr>
        <w:t>；应</w:t>
      </w:r>
      <w:r>
        <w:rPr>
          <w:szCs w:val="21"/>
        </w:rPr>
        <w:t>具备特殊人群</w:t>
      </w:r>
      <w:r>
        <w:rPr>
          <w:rFonts w:hint="eastAsia"/>
          <w:szCs w:val="21"/>
        </w:rPr>
        <w:t>（婴幼儿</w:t>
      </w:r>
      <w:r>
        <w:rPr>
          <w:szCs w:val="21"/>
        </w:rPr>
        <w:t>、孕妇、老年人、</w:t>
      </w:r>
      <w:r>
        <w:rPr>
          <w:rFonts w:hint="eastAsia"/>
          <w:szCs w:val="21"/>
        </w:rPr>
        <w:t>遗传</w:t>
      </w:r>
      <w:r>
        <w:rPr>
          <w:szCs w:val="21"/>
        </w:rPr>
        <w:t>特异质患者、</w:t>
      </w:r>
      <w:r>
        <w:rPr>
          <w:rFonts w:hint="eastAsia"/>
          <w:szCs w:val="21"/>
        </w:rPr>
        <w:t>肝肾功能</w:t>
      </w:r>
      <w:r>
        <w:rPr>
          <w:szCs w:val="21"/>
        </w:rPr>
        <w:t>不全患者等</w:t>
      </w:r>
      <w:r>
        <w:rPr>
          <w:rFonts w:hint="eastAsia"/>
          <w:szCs w:val="21"/>
        </w:rPr>
        <w:t>）合理用药</w:t>
      </w:r>
      <w:r>
        <w:rPr>
          <w:szCs w:val="21"/>
        </w:rPr>
        <w:t>的能力；应掌握临床常见慢性疾病</w:t>
      </w:r>
      <w:r>
        <w:rPr>
          <w:rFonts w:hint="eastAsia"/>
          <w:szCs w:val="21"/>
        </w:rPr>
        <w:t>的</w:t>
      </w:r>
      <w:r>
        <w:rPr>
          <w:szCs w:val="21"/>
        </w:rPr>
        <w:t>药物种类</w:t>
      </w:r>
      <w:r>
        <w:rPr>
          <w:rFonts w:hint="eastAsia"/>
          <w:szCs w:val="21"/>
        </w:rPr>
        <w:t>、药理</w:t>
      </w:r>
      <w:r>
        <w:rPr>
          <w:szCs w:val="21"/>
        </w:rPr>
        <w:t>作用</w:t>
      </w:r>
      <w:r>
        <w:rPr>
          <w:rFonts w:hint="eastAsia"/>
          <w:szCs w:val="21"/>
        </w:rPr>
        <w:t>和合理应用</w:t>
      </w:r>
      <w:r>
        <w:rPr>
          <w:szCs w:val="21"/>
        </w:rPr>
        <w:t>的能力</w:t>
      </w:r>
      <w:r>
        <w:rPr>
          <w:rFonts w:hint="eastAsia"/>
          <w:szCs w:val="21"/>
        </w:rPr>
        <w:t>；应</w:t>
      </w:r>
      <w:r>
        <w:rPr>
          <w:szCs w:val="21"/>
        </w:rPr>
        <w:t>具备开展药物安全性</w:t>
      </w:r>
      <w:r>
        <w:rPr>
          <w:rFonts w:hint="eastAsia"/>
          <w:szCs w:val="21"/>
        </w:rPr>
        <w:t>评价</w:t>
      </w:r>
      <w:r>
        <w:rPr>
          <w:szCs w:val="21"/>
        </w:rPr>
        <w:t>的能力</w:t>
      </w:r>
      <w:r>
        <w:rPr>
          <w:rFonts w:hint="eastAsia"/>
          <w:szCs w:val="21"/>
        </w:rPr>
        <w:t>。</w:t>
      </w:r>
    </w:p>
    <w:p>
      <w:pPr>
        <w:adjustRightInd w:val="0"/>
        <w:snapToGrid w:val="0"/>
        <w:ind w:firstLine="422" w:firstLineChars="200"/>
        <w:rPr>
          <w:b/>
          <w:szCs w:val="21"/>
        </w:rPr>
      </w:pPr>
      <w:r>
        <w:rPr>
          <w:rFonts w:hint="eastAsia"/>
          <w:b/>
          <w:szCs w:val="21"/>
        </w:rPr>
        <w:t>3.思政目标</w:t>
      </w:r>
    </w:p>
    <w:tbl>
      <w:tblPr>
        <w:tblStyle w:val="10"/>
        <w:tblpPr w:leftFromText="180" w:rightFromText="180" w:vertAnchor="text" w:horzAnchor="margin" w:tblpY="277"/>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285"/>
        <w:gridCol w:w="1834"/>
        <w:gridCol w:w="226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1285" w:type="dxa"/>
          </w:tcPr>
          <w:p>
            <w:pPr>
              <w:spacing w:line="288" w:lineRule="auto"/>
              <w:jc w:val="center"/>
              <w:rPr>
                <w:b/>
              </w:rPr>
            </w:pPr>
            <w:r>
              <w:rPr>
                <w:rFonts w:hint="eastAsia"/>
                <w:b/>
              </w:rPr>
              <w:t>融入章节</w:t>
            </w:r>
          </w:p>
        </w:tc>
        <w:tc>
          <w:tcPr>
            <w:tcW w:w="1834" w:type="dxa"/>
          </w:tcPr>
          <w:p>
            <w:pPr>
              <w:spacing w:line="288" w:lineRule="auto"/>
              <w:jc w:val="center"/>
              <w:rPr>
                <w:b/>
              </w:rPr>
            </w:pPr>
            <w:r>
              <w:rPr>
                <w:rFonts w:hint="eastAsia"/>
                <w:b/>
              </w:rPr>
              <w:t>融入专业知识点</w:t>
            </w:r>
          </w:p>
        </w:tc>
        <w:tc>
          <w:tcPr>
            <w:tcW w:w="2268" w:type="dxa"/>
          </w:tcPr>
          <w:p>
            <w:pPr>
              <w:spacing w:line="288" w:lineRule="auto"/>
              <w:jc w:val="center"/>
              <w:rPr>
                <w:b/>
              </w:rPr>
            </w:pPr>
            <w:r>
              <w:rPr>
                <w:rFonts w:hint="eastAsia"/>
                <w:b/>
              </w:rPr>
              <w:t>思政元素点</w:t>
            </w:r>
          </w:p>
        </w:tc>
        <w:tc>
          <w:tcPr>
            <w:tcW w:w="2693"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1</w:t>
            </w:r>
          </w:p>
        </w:tc>
        <w:tc>
          <w:tcPr>
            <w:tcW w:w="1285" w:type="dxa"/>
            <w:vAlign w:val="center"/>
          </w:tcPr>
          <w:p>
            <w:pPr>
              <w:adjustRightInd w:val="0"/>
              <w:snapToGrid w:val="0"/>
              <w:spacing w:line="288" w:lineRule="auto"/>
            </w:pPr>
            <w:r>
              <w:rPr>
                <w:rFonts w:hint="eastAsia"/>
              </w:rPr>
              <w:t>绪论</w:t>
            </w:r>
          </w:p>
        </w:tc>
        <w:tc>
          <w:tcPr>
            <w:tcW w:w="1834" w:type="dxa"/>
            <w:vAlign w:val="center"/>
          </w:tcPr>
          <w:p>
            <w:pPr>
              <w:adjustRightInd w:val="0"/>
              <w:snapToGrid w:val="0"/>
              <w:spacing w:line="288" w:lineRule="auto"/>
            </w:pPr>
            <w:r>
              <w:rPr>
                <w:rFonts w:hint="eastAsia"/>
              </w:rPr>
              <w:t>临床药理学职能</w:t>
            </w:r>
          </w:p>
        </w:tc>
        <w:tc>
          <w:tcPr>
            <w:tcW w:w="2268" w:type="dxa"/>
            <w:vAlign w:val="center"/>
          </w:tcPr>
          <w:p>
            <w:pPr>
              <w:adjustRightInd w:val="0"/>
              <w:snapToGrid w:val="0"/>
              <w:spacing w:line="288" w:lineRule="auto"/>
            </w:pPr>
            <w:r>
              <w:rPr>
                <w:rFonts w:hint="eastAsia"/>
              </w:rPr>
              <w:t>药师的岗位职责</w:t>
            </w:r>
          </w:p>
        </w:tc>
        <w:tc>
          <w:tcPr>
            <w:tcW w:w="2693" w:type="dxa"/>
            <w:vAlign w:val="center"/>
          </w:tcPr>
          <w:p>
            <w:pPr>
              <w:adjustRightInd w:val="0"/>
              <w:snapToGrid w:val="0"/>
              <w:spacing w:line="288" w:lineRule="auto"/>
            </w:pPr>
            <w:r>
              <w:rPr>
                <w:rFonts w:hint="eastAsia"/>
                <w:color w:val="0D0D0D"/>
                <w:szCs w:val="21"/>
              </w:rPr>
              <w:t>激发学生的专业自豪感，提高职业认同感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2</w:t>
            </w:r>
          </w:p>
        </w:tc>
        <w:tc>
          <w:tcPr>
            <w:tcW w:w="1285" w:type="dxa"/>
            <w:vAlign w:val="center"/>
          </w:tcPr>
          <w:p>
            <w:pPr>
              <w:adjustRightInd w:val="0"/>
              <w:snapToGrid w:val="0"/>
              <w:spacing w:line="288" w:lineRule="auto"/>
            </w:pPr>
            <w:r>
              <w:rPr>
                <w:rFonts w:hint="eastAsia"/>
              </w:rPr>
              <w:t>临床药效学</w:t>
            </w:r>
          </w:p>
        </w:tc>
        <w:tc>
          <w:tcPr>
            <w:tcW w:w="1834" w:type="dxa"/>
            <w:vAlign w:val="center"/>
          </w:tcPr>
          <w:p>
            <w:pPr>
              <w:adjustRightInd w:val="0"/>
              <w:snapToGrid w:val="0"/>
              <w:spacing w:line="288" w:lineRule="auto"/>
            </w:pPr>
            <w:r>
              <w:rPr>
                <w:rFonts w:hint="eastAsia"/>
              </w:rPr>
              <w:t>受体学说的临床意义</w:t>
            </w:r>
          </w:p>
        </w:tc>
        <w:tc>
          <w:tcPr>
            <w:tcW w:w="2268" w:type="dxa"/>
            <w:vAlign w:val="center"/>
          </w:tcPr>
          <w:p>
            <w:pPr>
              <w:adjustRightInd w:val="0"/>
              <w:snapToGrid w:val="0"/>
              <w:spacing w:line="288" w:lineRule="auto"/>
            </w:pPr>
            <w:r>
              <w:rPr>
                <w:rFonts w:hint="eastAsia"/>
              </w:rPr>
              <w:t>临床实践中运用专业理论判断、解决问题</w:t>
            </w:r>
          </w:p>
        </w:tc>
        <w:tc>
          <w:tcPr>
            <w:tcW w:w="2693" w:type="dxa"/>
            <w:vAlign w:val="center"/>
          </w:tcPr>
          <w:p>
            <w:pPr>
              <w:adjustRightInd w:val="0"/>
              <w:snapToGrid w:val="0"/>
              <w:spacing w:line="288" w:lineRule="auto"/>
            </w:pPr>
            <w:r>
              <w:rPr>
                <w:rFonts w:hint="eastAsia" w:ascii="Arial" w:hAnsi="Arial" w:cs="Arial"/>
                <w:color w:val="0D0D0D"/>
                <w:szCs w:val="21"/>
                <w:shd w:val="clear" w:color="auto" w:fill="FFFFFF"/>
              </w:rPr>
              <w:t>培养和</w:t>
            </w:r>
            <w:r>
              <w:rPr>
                <w:rFonts w:ascii="Arial" w:hAnsi="Arial" w:cs="Arial"/>
                <w:color w:val="0D0D0D"/>
                <w:szCs w:val="21"/>
                <w:shd w:val="clear" w:color="auto" w:fill="FFFFFF"/>
              </w:rPr>
              <w:t>提高</w:t>
            </w:r>
            <w:r>
              <w:rPr>
                <w:rFonts w:hint="eastAsia" w:ascii="Arial" w:hAnsi="Arial" w:cs="Arial"/>
                <w:color w:val="0D0D0D"/>
                <w:szCs w:val="21"/>
                <w:shd w:val="clear" w:color="auto" w:fill="FFFFFF"/>
              </w:rPr>
              <w:t>学生</w:t>
            </w:r>
            <w:r>
              <w:rPr>
                <w:rFonts w:ascii="Arial" w:hAnsi="Arial" w:cs="Arial"/>
                <w:color w:val="0D0D0D"/>
                <w:szCs w:val="21"/>
                <w:shd w:val="clear" w:color="auto" w:fill="FFFFFF"/>
              </w:rPr>
              <w:t>的</w:t>
            </w:r>
            <w:r>
              <w:rPr>
                <w:rFonts w:hint="eastAsia" w:ascii="Arial" w:hAnsi="Arial" w:cs="Arial"/>
                <w:color w:val="0D0D0D"/>
                <w:szCs w:val="21"/>
                <w:shd w:val="clear" w:color="auto" w:fill="FFFFFF"/>
              </w:rPr>
              <w:t>药学服务</w:t>
            </w:r>
            <w:r>
              <w:rPr>
                <w:rFonts w:ascii="Arial" w:hAnsi="Arial" w:cs="Arial"/>
                <w:color w:val="0D0D0D"/>
                <w:szCs w:val="21"/>
                <w:shd w:val="clear" w:color="auto" w:fill="FFFFFF"/>
              </w:rPr>
              <w:t>意识和综合素质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3</w:t>
            </w:r>
          </w:p>
        </w:tc>
        <w:tc>
          <w:tcPr>
            <w:tcW w:w="1285" w:type="dxa"/>
            <w:vAlign w:val="center"/>
          </w:tcPr>
          <w:p>
            <w:pPr>
              <w:adjustRightInd w:val="0"/>
              <w:snapToGrid w:val="0"/>
              <w:spacing w:line="288" w:lineRule="auto"/>
            </w:pPr>
            <w:r>
              <w:rPr>
                <w:rFonts w:hint="eastAsia"/>
              </w:rPr>
              <w:t>药物临床研究</w:t>
            </w:r>
          </w:p>
        </w:tc>
        <w:tc>
          <w:tcPr>
            <w:tcW w:w="1834" w:type="dxa"/>
            <w:vAlign w:val="center"/>
          </w:tcPr>
          <w:p>
            <w:pPr>
              <w:adjustRightInd w:val="0"/>
              <w:snapToGrid w:val="0"/>
              <w:spacing w:line="288" w:lineRule="auto"/>
            </w:pPr>
            <w:r>
              <w:rPr>
                <w:rFonts w:hint="eastAsia"/>
              </w:rPr>
              <w:t>GCP；临床试验的设计</w:t>
            </w:r>
          </w:p>
        </w:tc>
        <w:tc>
          <w:tcPr>
            <w:tcW w:w="2268" w:type="dxa"/>
            <w:vAlign w:val="center"/>
          </w:tcPr>
          <w:p>
            <w:pPr>
              <w:adjustRightInd w:val="0"/>
              <w:snapToGrid w:val="0"/>
              <w:spacing w:line="288" w:lineRule="auto"/>
            </w:pPr>
            <w:r>
              <w:rPr>
                <w:rFonts w:hint="eastAsia"/>
              </w:rPr>
              <w:t>药物临床研究中体现了科学、严谨、人性化的管理</w:t>
            </w:r>
          </w:p>
        </w:tc>
        <w:tc>
          <w:tcPr>
            <w:tcW w:w="2693" w:type="dxa"/>
            <w:vAlign w:val="center"/>
          </w:tcPr>
          <w:p>
            <w:pPr>
              <w:adjustRightInd w:val="0"/>
              <w:snapToGrid w:val="0"/>
              <w:spacing w:line="288" w:lineRule="auto"/>
            </w:pPr>
            <w:r>
              <w:rPr>
                <w:rFonts w:hint="eastAsia"/>
              </w:rPr>
              <w:t>培养、教育学生奠定良好的专业基础，在专业工作中依法、依规，同时关注人的权益。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4</w:t>
            </w:r>
          </w:p>
        </w:tc>
        <w:tc>
          <w:tcPr>
            <w:tcW w:w="1285" w:type="dxa"/>
            <w:vAlign w:val="center"/>
          </w:tcPr>
          <w:p>
            <w:pPr>
              <w:adjustRightInd w:val="0"/>
              <w:snapToGrid w:val="0"/>
              <w:spacing w:line="288" w:lineRule="auto"/>
            </w:pPr>
            <w:r>
              <w:rPr>
                <w:rFonts w:hint="eastAsia"/>
              </w:rPr>
              <w:t>妊娠期、哺乳期妇女与新生儿合理用药</w:t>
            </w:r>
          </w:p>
        </w:tc>
        <w:tc>
          <w:tcPr>
            <w:tcW w:w="1834" w:type="dxa"/>
            <w:vAlign w:val="center"/>
          </w:tcPr>
          <w:p>
            <w:pPr>
              <w:adjustRightInd w:val="0"/>
              <w:snapToGrid w:val="0"/>
              <w:spacing w:line="288" w:lineRule="auto"/>
            </w:pPr>
            <w:r>
              <w:rPr>
                <w:rFonts w:hint="eastAsia"/>
              </w:rPr>
              <w:t>妊娠期合理用药的原则；哺乳期用药</w:t>
            </w:r>
          </w:p>
        </w:tc>
        <w:tc>
          <w:tcPr>
            <w:tcW w:w="2268" w:type="dxa"/>
            <w:vAlign w:val="center"/>
          </w:tcPr>
          <w:p>
            <w:pPr>
              <w:adjustRightInd w:val="0"/>
              <w:snapToGrid w:val="0"/>
              <w:spacing w:line="288" w:lineRule="auto"/>
            </w:pPr>
            <w:r>
              <w:rPr>
                <w:rFonts w:hint="eastAsia"/>
              </w:rPr>
              <w:t>妊娠期妇女、胎儿、新生儿作为特殊群体，药师在药学服务中应关注其特殊的生理改变对药物治疗的影响，体现“以患者为中心”的服务宗旨。</w:t>
            </w:r>
          </w:p>
        </w:tc>
        <w:tc>
          <w:tcPr>
            <w:tcW w:w="2693" w:type="dxa"/>
            <w:vAlign w:val="center"/>
          </w:tcPr>
          <w:p>
            <w:pPr>
              <w:adjustRightInd w:val="0"/>
              <w:snapToGrid w:val="0"/>
              <w:spacing w:line="288" w:lineRule="auto"/>
            </w:pPr>
            <w:r>
              <w:rPr>
                <w:rFonts w:hint="eastAsia"/>
              </w:rPr>
              <w:t>培养学生具备良好的职业素养，敬畏生命，关爱患者，练就高超的专业本领和医者仁心的道德情操。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5</w:t>
            </w:r>
          </w:p>
        </w:tc>
        <w:tc>
          <w:tcPr>
            <w:tcW w:w="1285" w:type="dxa"/>
            <w:vAlign w:val="center"/>
          </w:tcPr>
          <w:p>
            <w:pPr>
              <w:adjustRightInd w:val="0"/>
              <w:snapToGrid w:val="0"/>
              <w:spacing w:line="288" w:lineRule="auto"/>
            </w:pPr>
            <w:r>
              <w:rPr>
                <w:rFonts w:hint="eastAsia"/>
              </w:rPr>
              <w:t>老年人合理用药</w:t>
            </w:r>
          </w:p>
        </w:tc>
        <w:tc>
          <w:tcPr>
            <w:tcW w:w="1834" w:type="dxa"/>
            <w:vAlign w:val="center"/>
          </w:tcPr>
          <w:p>
            <w:pPr>
              <w:adjustRightInd w:val="0"/>
              <w:snapToGrid w:val="0"/>
              <w:spacing w:line="288" w:lineRule="auto"/>
            </w:pPr>
            <w:r>
              <w:rPr>
                <w:rFonts w:hint="eastAsia"/>
              </w:rPr>
              <w:t>老年人用药的基本原则</w:t>
            </w:r>
          </w:p>
        </w:tc>
        <w:tc>
          <w:tcPr>
            <w:tcW w:w="2268" w:type="dxa"/>
            <w:vAlign w:val="center"/>
          </w:tcPr>
          <w:p>
            <w:pPr>
              <w:adjustRightInd w:val="0"/>
              <w:snapToGrid w:val="0"/>
              <w:spacing w:line="288" w:lineRule="auto"/>
            </w:pPr>
            <w:r>
              <w:rPr>
                <w:rFonts w:hint="eastAsia"/>
              </w:rPr>
              <w:t>药师在药学服务中应关注老年人特殊的生理改变对药物治疗的影响，体现“以患者为中心”的服务宗旨。</w:t>
            </w:r>
          </w:p>
        </w:tc>
        <w:tc>
          <w:tcPr>
            <w:tcW w:w="2693" w:type="dxa"/>
            <w:vAlign w:val="center"/>
          </w:tcPr>
          <w:p>
            <w:pPr>
              <w:adjustRightInd w:val="0"/>
              <w:snapToGrid w:val="0"/>
              <w:spacing w:line="288" w:lineRule="auto"/>
            </w:pPr>
            <w:r>
              <w:rPr>
                <w:rFonts w:hint="eastAsia"/>
              </w:rPr>
              <w:t>培养学生具备良好的职业素养，敬畏生命，关爱患者，练就高超的专业本领和医者仁心的道德情操。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6</w:t>
            </w:r>
          </w:p>
        </w:tc>
        <w:tc>
          <w:tcPr>
            <w:tcW w:w="1285" w:type="dxa"/>
            <w:vAlign w:val="center"/>
          </w:tcPr>
          <w:p>
            <w:pPr>
              <w:adjustRightInd w:val="0"/>
              <w:snapToGrid w:val="0"/>
              <w:spacing w:line="288" w:lineRule="auto"/>
            </w:pPr>
            <w:r>
              <w:rPr>
                <w:rFonts w:hint="eastAsia"/>
              </w:rPr>
              <w:t>时间药理学</w:t>
            </w:r>
          </w:p>
        </w:tc>
        <w:tc>
          <w:tcPr>
            <w:tcW w:w="1834" w:type="dxa"/>
            <w:vAlign w:val="center"/>
          </w:tcPr>
          <w:p>
            <w:pPr>
              <w:adjustRightInd w:val="0"/>
              <w:snapToGrid w:val="0"/>
              <w:spacing w:line="288" w:lineRule="auto"/>
            </w:pPr>
            <w:r>
              <w:rPr>
                <w:rFonts w:hint="eastAsia"/>
              </w:rPr>
              <w:t>时间药理学与临床合理用药</w:t>
            </w:r>
          </w:p>
        </w:tc>
        <w:tc>
          <w:tcPr>
            <w:tcW w:w="2268" w:type="dxa"/>
            <w:vAlign w:val="center"/>
          </w:tcPr>
          <w:p>
            <w:pPr>
              <w:adjustRightInd w:val="0"/>
              <w:snapToGrid w:val="0"/>
              <w:spacing w:line="288" w:lineRule="auto"/>
            </w:pPr>
            <w:r>
              <w:rPr>
                <w:rFonts w:hint="eastAsia"/>
              </w:rPr>
              <w:t>胰岛素、 糖皮质激素等的给药时间为例， 阐明人体生物节律对药理学的影响， 教育学生人类应遵循自然规律。</w:t>
            </w:r>
          </w:p>
        </w:tc>
        <w:tc>
          <w:tcPr>
            <w:tcW w:w="2693" w:type="dxa"/>
            <w:vAlign w:val="center"/>
          </w:tcPr>
          <w:p>
            <w:pPr>
              <w:adjustRightInd w:val="0"/>
              <w:snapToGrid w:val="0"/>
              <w:spacing w:line="288" w:lineRule="auto"/>
            </w:pPr>
            <w:r>
              <w:rPr>
                <w:rFonts w:hint="eastAsia"/>
              </w:rPr>
              <w:t>以人为本的科学发展理念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288" w:lineRule="auto"/>
              <w:rPr>
                <w:b/>
              </w:rPr>
            </w:pPr>
            <w:r>
              <w:rPr>
                <w:rFonts w:hint="eastAsia"/>
                <w:b/>
              </w:rPr>
              <w:t>7</w:t>
            </w:r>
          </w:p>
        </w:tc>
        <w:tc>
          <w:tcPr>
            <w:tcW w:w="1285" w:type="dxa"/>
            <w:vAlign w:val="center"/>
          </w:tcPr>
          <w:p>
            <w:pPr>
              <w:adjustRightInd w:val="0"/>
              <w:snapToGrid w:val="0"/>
              <w:spacing w:line="288" w:lineRule="auto"/>
            </w:pPr>
            <w:r>
              <w:rPr>
                <w:rFonts w:hint="eastAsia"/>
              </w:rPr>
              <w:t>抗菌药物的合理应用</w:t>
            </w:r>
          </w:p>
        </w:tc>
        <w:tc>
          <w:tcPr>
            <w:tcW w:w="1834" w:type="dxa"/>
            <w:vAlign w:val="center"/>
          </w:tcPr>
          <w:p>
            <w:pPr>
              <w:adjustRightInd w:val="0"/>
              <w:snapToGrid w:val="0"/>
              <w:spacing w:line="288" w:lineRule="auto"/>
            </w:pPr>
            <w:r>
              <w:rPr>
                <w:rFonts w:hint="eastAsia"/>
              </w:rPr>
              <w:t>抗菌药物合理应用的基本原则</w:t>
            </w:r>
          </w:p>
        </w:tc>
        <w:tc>
          <w:tcPr>
            <w:tcW w:w="2268" w:type="dxa"/>
            <w:vAlign w:val="center"/>
          </w:tcPr>
          <w:p>
            <w:pPr>
              <w:adjustRightInd w:val="0"/>
              <w:snapToGrid w:val="0"/>
              <w:spacing w:line="288" w:lineRule="auto"/>
            </w:pPr>
            <w:r>
              <w:rPr>
                <w:rFonts w:hint="eastAsia"/>
              </w:rPr>
              <w:t>合理地使用抗菌药物，利用好药物资源，为临床提供高质量的药学服务。</w:t>
            </w:r>
          </w:p>
        </w:tc>
        <w:tc>
          <w:tcPr>
            <w:tcW w:w="2693" w:type="dxa"/>
            <w:vAlign w:val="center"/>
          </w:tcPr>
          <w:p>
            <w:pPr>
              <w:adjustRightInd w:val="0"/>
              <w:snapToGrid w:val="0"/>
              <w:spacing w:line="288" w:lineRule="auto"/>
            </w:pPr>
            <w:r>
              <w:rPr>
                <w:rFonts w:hint="eastAsia"/>
              </w:rPr>
              <w:t>培养学生具备良好的职业素养，敬畏生命，关爱患者，培养医者仁心的道德情操。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b/>
              </w:rPr>
              <w:t>8</w:t>
            </w:r>
          </w:p>
        </w:tc>
        <w:tc>
          <w:tcPr>
            <w:tcW w:w="1285" w:type="dxa"/>
            <w:vAlign w:val="center"/>
          </w:tcPr>
          <w:p>
            <w:pPr>
              <w:spacing w:line="288" w:lineRule="auto"/>
              <w:rPr>
                <w:rFonts w:hAnsi="宋体" w:cs="宋体"/>
              </w:rPr>
            </w:pPr>
            <w:r>
              <w:rPr>
                <w:rFonts w:hint="eastAsia" w:hAnsi="宋体"/>
                <w:szCs w:val="21"/>
              </w:rPr>
              <w:t>遗传药理学</w:t>
            </w:r>
          </w:p>
        </w:tc>
        <w:tc>
          <w:tcPr>
            <w:tcW w:w="1834" w:type="dxa"/>
            <w:vAlign w:val="center"/>
          </w:tcPr>
          <w:p>
            <w:pPr>
              <w:spacing w:line="288" w:lineRule="auto"/>
            </w:pPr>
            <w:r>
              <w:rPr>
                <w:rFonts w:hint="eastAsia"/>
              </w:rPr>
              <w:t>遗传药理学发展概况及其研究内容</w:t>
            </w:r>
          </w:p>
        </w:tc>
        <w:tc>
          <w:tcPr>
            <w:tcW w:w="2268" w:type="dxa"/>
            <w:vAlign w:val="center"/>
          </w:tcPr>
          <w:p>
            <w:pPr>
              <w:spacing w:line="288" w:lineRule="auto"/>
            </w:pPr>
            <w:r>
              <w:rPr>
                <w:rFonts w:hint="eastAsia"/>
              </w:rPr>
              <w:t>量变到质变；从学科大师的发展史来挖掘来挖掘价值观，育德于教，榜样的力量是无穷的及示范性效应。</w:t>
            </w:r>
          </w:p>
        </w:tc>
        <w:tc>
          <w:tcPr>
            <w:tcW w:w="2693" w:type="dxa"/>
            <w:vAlign w:val="center"/>
          </w:tcPr>
          <w:p>
            <w:pPr>
              <w:spacing w:line="288" w:lineRule="auto"/>
            </w:pPr>
            <w:r>
              <w:rPr>
                <w:rFonts w:hint="eastAsia"/>
              </w:rPr>
              <w:t>通过介绍中国科学家在我国遗传药理学科学发展中的作用及国际影响，让同学们意识到知微见著，严谨的科学态度，量变变质量，一定会有所收获与成就。</w:t>
            </w:r>
          </w:p>
        </w:tc>
      </w:tr>
    </w:tbl>
    <w:p/>
    <w:tbl>
      <w:tblPr>
        <w:tblStyle w:val="10"/>
        <w:tblpPr w:leftFromText="180" w:rightFromText="180" w:vertAnchor="text" w:horzAnchor="margin" w:tblpX="1" w:tblpY="277"/>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276"/>
        <w:gridCol w:w="1843"/>
        <w:gridCol w:w="2268"/>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1276" w:type="dxa"/>
          </w:tcPr>
          <w:p>
            <w:pPr>
              <w:spacing w:line="288" w:lineRule="auto"/>
              <w:jc w:val="center"/>
              <w:rPr>
                <w:b/>
              </w:rPr>
            </w:pPr>
            <w:r>
              <w:rPr>
                <w:rFonts w:hint="eastAsia"/>
                <w:b/>
              </w:rPr>
              <w:t>融入章节</w:t>
            </w:r>
          </w:p>
        </w:tc>
        <w:tc>
          <w:tcPr>
            <w:tcW w:w="1843" w:type="dxa"/>
          </w:tcPr>
          <w:p>
            <w:pPr>
              <w:spacing w:line="288" w:lineRule="auto"/>
              <w:jc w:val="center"/>
              <w:rPr>
                <w:b/>
              </w:rPr>
            </w:pPr>
            <w:r>
              <w:rPr>
                <w:rFonts w:hint="eastAsia"/>
                <w:b/>
              </w:rPr>
              <w:t>融入专业知识点</w:t>
            </w:r>
          </w:p>
        </w:tc>
        <w:tc>
          <w:tcPr>
            <w:tcW w:w="2268" w:type="dxa"/>
          </w:tcPr>
          <w:p>
            <w:pPr>
              <w:spacing w:line="288" w:lineRule="auto"/>
              <w:jc w:val="center"/>
              <w:rPr>
                <w:b/>
              </w:rPr>
            </w:pPr>
            <w:r>
              <w:rPr>
                <w:rFonts w:hint="eastAsia"/>
                <w:b/>
              </w:rPr>
              <w:t>思政元素点</w:t>
            </w:r>
          </w:p>
        </w:tc>
        <w:tc>
          <w:tcPr>
            <w:tcW w:w="2693"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b/>
              </w:rPr>
              <w:t>9</w:t>
            </w:r>
          </w:p>
        </w:tc>
        <w:tc>
          <w:tcPr>
            <w:tcW w:w="1276" w:type="dxa"/>
            <w:vAlign w:val="center"/>
          </w:tcPr>
          <w:p>
            <w:pPr>
              <w:rPr>
                <w:rFonts w:hAnsi="宋体" w:cs="宋体"/>
              </w:rPr>
            </w:pPr>
            <w:r>
              <w:rPr>
                <w:rFonts w:hint="eastAsia" w:hAnsi="宋体"/>
                <w:szCs w:val="21"/>
              </w:rPr>
              <w:t>药物相互作用</w:t>
            </w:r>
          </w:p>
        </w:tc>
        <w:tc>
          <w:tcPr>
            <w:tcW w:w="1843" w:type="dxa"/>
            <w:vAlign w:val="center"/>
          </w:tcPr>
          <w:p>
            <w:pPr>
              <w:spacing w:line="288" w:lineRule="auto"/>
              <w:rPr>
                <w:color w:val="FF0000"/>
              </w:rPr>
            </w:pPr>
            <w:r>
              <w:rPr>
                <w:rFonts w:hint="eastAsia"/>
              </w:rPr>
              <w:t>药物相互作用的定义和联合用药的意义；药物相互作用与分类；严重的不良药物相互作用</w:t>
            </w:r>
          </w:p>
        </w:tc>
        <w:tc>
          <w:tcPr>
            <w:tcW w:w="2268" w:type="dxa"/>
            <w:vAlign w:val="center"/>
          </w:tcPr>
          <w:p>
            <w:pPr>
              <w:spacing w:line="288" w:lineRule="auto"/>
            </w:pPr>
            <w:r>
              <w:rPr>
                <w:rFonts w:hint="eastAsia" w:ascii="Arial" w:hAnsi="Arial" w:cs="Arial"/>
                <w:color w:val="333333"/>
                <w:szCs w:val="21"/>
                <w:shd w:val="clear" w:color="auto" w:fill="FFFFFF"/>
              </w:rPr>
              <w:t>任何事物以及事物之间都包含着矛盾性，事物矛盾双方又统一又斗争推动事物的运动、变化和发展。</w:t>
            </w:r>
          </w:p>
        </w:tc>
        <w:tc>
          <w:tcPr>
            <w:tcW w:w="2693" w:type="dxa"/>
            <w:vAlign w:val="center"/>
          </w:tcPr>
          <w:p>
            <w:pPr>
              <w:spacing w:line="288" w:lineRule="auto"/>
            </w:pPr>
            <w:r>
              <w:rPr>
                <w:rFonts w:hint="eastAsia"/>
              </w:rPr>
              <w:t>我们在临床药学监护中，既要避免不利的相互作用，但有时还利用的药理性拮抗的相互作用。</w:t>
            </w:r>
            <w:r>
              <w:rPr>
                <w:rFonts w:hint="eastAsia" w:ascii="Calibri" w:hAnsi="宋体"/>
                <w:color w:val="0D0D0D"/>
                <w:szCs w:val="21"/>
              </w:rPr>
              <w:t>具备完整全面的专业知识，才能在临床用药指导时发挥作用，解决各种各样的实际问题</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300" w:lineRule="auto"/>
              <w:rPr>
                <w:b/>
              </w:rPr>
            </w:pPr>
            <w:r>
              <w:rPr>
                <w:b/>
              </w:rPr>
              <w:t>10</w:t>
            </w:r>
          </w:p>
          <w:p>
            <w:pPr>
              <w:adjustRightInd w:val="0"/>
              <w:snapToGrid w:val="0"/>
              <w:spacing w:line="300" w:lineRule="auto"/>
              <w:rPr>
                <w:b/>
              </w:rPr>
            </w:pPr>
          </w:p>
        </w:tc>
        <w:tc>
          <w:tcPr>
            <w:tcW w:w="1276" w:type="dxa"/>
            <w:vAlign w:val="center"/>
          </w:tcPr>
          <w:p>
            <w:r>
              <w:rPr>
                <w:rFonts w:hint="eastAsia"/>
              </w:rPr>
              <w:t>治疗药物监测与个体化给药</w:t>
            </w:r>
          </w:p>
        </w:tc>
        <w:tc>
          <w:tcPr>
            <w:tcW w:w="1843" w:type="dxa"/>
            <w:vAlign w:val="center"/>
          </w:tcPr>
          <w:p>
            <w:r>
              <w:rPr>
                <w:rFonts w:hint="eastAsia"/>
              </w:rPr>
              <w:t>治疗药物监测与个体化给药</w:t>
            </w:r>
          </w:p>
        </w:tc>
        <w:tc>
          <w:tcPr>
            <w:tcW w:w="2268" w:type="dxa"/>
            <w:vAlign w:val="center"/>
          </w:tcPr>
          <w:p>
            <w:pPr>
              <w:spacing w:line="288" w:lineRule="auto"/>
            </w:pPr>
            <w:r>
              <w:rPr>
                <w:rFonts w:hint="eastAsia"/>
              </w:rPr>
              <w:t>以水杨酸、 普鲁卡因胺、 抗癫痫药物和地高辛等药物血药浓度差异为例，强调个体化治疗的重要性， 教育学生加强与患者的沟通交流，完善综合素质，掌握充分的临床资料；以人体和药物具有作用与反作用为例，释药动学和药效学本质，培养学生辩证思维。</w:t>
            </w:r>
          </w:p>
        </w:tc>
        <w:tc>
          <w:tcPr>
            <w:tcW w:w="2693" w:type="dxa"/>
            <w:vAlign w:val="center"/>
          </w:tcPr>
          <w:p>
            <w:pPr>
              <w:spacing w:line="288" w:lineRule="auto"/>
            </w:pPr>
            <w:r>
              <w:rPr>
                <w:rFonts w:hint="eastAsia"/>
              </w:rPr>
              <w:t>养学生具备良好的职业素养，敬畏生命，关爱患者，练就高超的专业技能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360" w:lineRule="auto"/>
              <w:rPr>
                <w:b/>
              </w:rPr>
            </w:pPr>
            <w:r>
              <w:rPr>
                <w:b/>
              </w:rPr>
              <w:t>11</w:t>
            </w:r>
          </w:p>
        </w:tc>
        <w:tc>
          <w:tcPr>
            <w:tcW w:w="1276" w:type="dxa"/>
            <w:vAlign w:val="center"/>
          </w:tcPr>
          <w:p>
            <w:pPr>
              <w:spacing w:line="288" w:lineRule="auto"/>
            </w:pPr>
            <w:r>
              <w:rPr>
                <w:rFonts w:hint="eastAsia"/>
              </w:rPr>
              <w:t>药物不良反应与药源性疾病</w:t>
            </w:r>
          </w:p>
        </w:tc>
        <w:tc>
          <w:tcPr>
            <w:tcW w:w="1843" w:type="dxa"/>
            <w:vAlign w:val="center"/>
          </w:tcPr>
          <w:p>
            <w:pPr>
              <w:spacing w:line="288" w:lineRule="auto"/>
            </w:pPr>
            <w:r>
              <w:rPr>
                <w:rFonts w:hint="eastAsia"/>
              </w:rPr>
              <w:t>药品不良反应监测与药物警戒</w:t>
            </w:r>
          </w:p>
        </w:tc>
        <w:tc>
          <w:tcPr>
            <w:tcW w:w="2268" w:type="dxa"/>
            <w:vAlign w:val="center"/>
          </w:tcPr>
          <w:p>
            <w:pPr>
              <w:spacing w:line="288" w:lineRule="auto"/>
            </w:pPr>
            <w:r>
              <w:rPr>
                <w:rFonts w:hint="eastAsia"/>
              </w:rPr>
              <w:t>以代表性药物不良反应为例，强调合理用药的安全性和加强不良反应监测的重要性， 培养医学生始终把人民群众的生命安全和身体健康放在首位的社会责任感。</w:t>
            </w:r>
          </w:p>
        </w:tc>
        <w:tc>
          <w:tcPr>
            <w:tcW w:w="2693" w:type="dxa"/>
            <w:vAlign w:val="center"/>
          </w:tcPr>
          <w:p>
            <w:pPr>
              <w:spacing w:line="288" w:lineRule="auto"/>
            </w:pPr>
            <w:r>
              <w:rPr>
                <w:rFonts w:hint="eastAsia"/>
              </w:rPr>
              <w:t>职业素养与社会责任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adjustRightInd w:val="0"/>
              <w:snapToGrid w:val="0"/>
              <w:spacing w:line="360" w:lineRule="auto"/>
              <w:rPr>
                <w:b/>
              </w:rPr>
            </w:pPr>
            <w:r>
              <w:rPr>
                <w:b/>
              </w:rPr>
              <w:t>1</w:t>
            </w:r>
            <w:r>
              <w:rPr>
                <w:rFonts w:hint="eastAsia"/>
                <w:b/>
              </w:rPr>
              <w:t>2</w:t>
            </w:r>
          </w:p>
        </w:tc>
        <w:tc>
          <w:tcPr>
            <w:tcW w:w="1276" w:type="dxa"/>
            <w:vAlign w:val="center"/>
          </w:tcPr>
          <w:p>
            <w:pPr>
              <w:spacing w:line="288" w:lineRule="auto"/>
            </w:pPr>
            <w:r>
              <w:rPr>
                <w:rFonts w:hint="eastAsia"/>
              </w:rPr>
              <w:t>高血压治疗药物</w:t>
            </w:r>
          </w:p>
        </w:tc>
        <w:tc>
          <w:tcPr>
            <w:tcW w:w="1843" w:type="dxa"/>
            <w:vAlign w:val="center"/>
          </w:tcPr>
          <w:p>
            <w:pPr>
              <w:spacing w:line="288" w:lineRule="auto"/>
            </w:pPr>
            <w:r>
              <w:rPr>
                <w:rFonts w:hint="eastAsia"/>
              </w:rPr>
              <w:t>高血压的危险因素</w:t>
            </w:r>
            <w:r>
              <w:t>与合理用药</w:t>
            </w:r>
          </w:p>
        </w:tc>
        <w:tc>
          <w:tcPr>
            <w:tcW w:w="2268" w:type="dxa"/>
            <w:vAlign w:val="center"/>
          </w:tcPr>
          <w:p>
            <w:pPr>
              <w:spacing w:line="288" w:lineRule="auto"/>
            </w:pPr>
            <w:r>
              <w:rPr>
                <w:rFonts w:hint="eastAsia"/>
              </w:rPr>
              <w:t>高血压</w:t>
            </w:r>
            <w:r>
              <w:t>的预防与治疗</w:t>
            </w:r>
            <w:r>
              <w:rPr>
                <w:rFonts w:hint="eastAsia"/>
              </w:rPr>
              <w:t>理念</w:t>
            </w:r>
            <w:r>
              <w:t>体现对生命质量和健康的正确认识</w:t>
            </w:r>
          </w:p>
        </w:tc>
        <w:tc>
          <w:tcPr>
            <w:tcW w:w="2693" w:type="dxa"/>
            <w:vAlign w:val="center"/>
          </w:tcPr>
          <w:p>
            <w:pPr>
              <w:spacing w:line="288" w:lineRule="auto"/>
            </w:pPr>
            <w:r>
              <w:t>实现</w:t>
            </w:r>
            <w:r>
              <w:rPr>
                <w:rFonts w:hint="eastAsia"/>
              </w:rPr>
              <w:t>患者</w:t>
            </w:r>
            <w:r>
              <w:t>生命收益最大化是一切医疗的最终目标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b/>
              </w:rPr>
              <w:t>13</w:t>
            </w:r>
          </w:p>
        </w:tc>
        <w:tc>
          <w:tcPr>
            <w:tcW w:w="1276" w:type="dxa"/>
            <w:vAlign w:val="center"/>
          </w:tcPr>
          <w:p>
            <w:pPr>
              <w:spacing w:line="288" w:lineRule="auto"/>
            </w:pPr>
            <w:r>
              <w:rPr>
                <w:rFonts w:hint="eastAsia"/>
              </w:rPr>
              <w:t>冠心病治疗药物</w:t>
            </w:r>
          </w:p>
        </w:tc>
        <w:tc>
          <w:tcPr>
            <w:tcW w:w="1843" w:type="dxa"/>
            <w:vAlign w:val="center"/>
          </w:tcPr>
          <w:p>
            <w:pPr>
              <w:spacing w:line="288" w:lineRule="auto"/>
            </w:pPr>
            <w:r>
              <w:rPr>
                <w:rFonts w:hint="eastAsia"/>
              </w:rPr>
              <w:t>冠心病的</w:t>
            </w:r>
            <w:r>
              <w:t>危险因素与防治</w:t>
            </w:r>
          </w:p>
        </w:tc>
        <w:tc>
          <w:tcPr>
            <w:tcW w:w="2268" w:type="dxa"/>
            <w:vAlign w:val="center"/>
          </w:tcPr>
          <w:p>
            <w:pPr>
              <w:spacing w:line="288" w:lineRule="auto"/>
            </w:pPr>
            <w:r>
              <w:rPr>
                <w:rFonts w:hint="eastAsia"/>
              </w:rPr>
              <w:t>科学</w:t>
            </w:r>
            <w:r>
              <w:t>的生活方式</w:t>
            </w:r>
            <w:r>
              <w:rPr>
                <w:rFonts w:hint="eastAsia"/>
              </w:rPr>
              <w:t>对血脂异常</w:t>
            </w:r>
            <w:r>
              <w:t>、糖尿病、冠心病等疾病的预防和治疗的重要性</w:t>
            </w:r>
          </w:p>
          <w:p>
            <w:pPr>
              <w:spacing w:line="288" w:lineRule="auto"/>
            </w:pPr>
          </w:p>
        </w:tc>
        <w:tc>
          <w:tcPr>
            <w:tcW w:w="2693" w:type="dxa"/>
            <w:vAlign w:val="center"/>
          </w:tcPr>
          <w:p>
            <w:pPr>
              <w:spacing w:line="288" w:lineRule="auto"/>
            </w:pPr>
            <w:r>
              <w:rPr>
                <w:rFonts w:hint="eastAsia"/>
              </w:rPr>
              <w:t>树立药学服务</w:t>
            </w:r>
            <w:r>
              <w:t>不仅是</w:t>
            </w:r>
            <w:r>
              <w:rPr>
                <w:rFonts w:hint="eastAsia"/>
              </w:rPr>
              <w:t>合理</w:t>
            </w:r>
            <w:r>
              <w:t>用药，更是对患者生命全方位</w:t>
            </w:r>
            <w:r>
              <w:rPr>
                <w:rFonts w:hint="eastAsia"/>
              </w:rPr>
              <w:t>关怀</w:t>
            </w:r>
            <w:r>
              <w:t>照护</w:t>
            </w:r>
            <w:r>
              <w:rPr>
                <w:rFonts w:hint="eastAsia"/>
              </w:rPr>
              <w:t>的理念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pacing w:line="288" w:lineRule="auto"/>
              <w:rPr>
                <w:b/>
              </w:rPr>
            </w:pPr>
            <w:r>
              <w:rPr>
                <w:rFonts w:hint="eastAsia"/>
                <w:b/>
              </w:rPr>
              <w:t>序号</w:t>
            </w:r>
          </w:p>
        </w:tc>
        <w:tc>
          <w:tcPr>
            <w:tcW w:w="1276" w:type="dxa"/>
          </w:tcPr>
          <w:p>
            <w:pPr>
              <w:spacing w:line="288" w:lineRule="auto"/>
              <w:jc w:val="center"/>
              <w:rPr>
                <w:b/>
              </w:rPr>
            </w:pPr>
            <w:r>
              <w:rPr>
                <w:rFonts w:hint="eastAsia"/>
                <w:b/>
              </w:rPr>
              <w:t>融入章节</w:t>
            </w:r>
          </w:p>
        </w:tc>
        <w:tc>
          <w:tcPr>
            <w:tcW w:w="1843" w:type="dxa"/>
          </w:tcPr>
          <w:p>
            <w:pPr>
              <w:spacing w:line="288" w:lineRule="auto"/>
              <w:jc w:val="center"/>
              <w:rPr>
                <w:b/>
              </w:rPr>
            </w:pPr>
            <w:r>
              <w:rPr>
                <w:rFonts w:hint="eastAsia"/>
                <w:b/>
              </w:rPr>
              <w:t>融入专业知识点</w:t>
            </w:r>
          </w:p>
        </w:tc>
        <w:tc>
          <w:tcPr>
            <w:tcW w:w="2268" w:type="dxa"/>
          </w:tcPr>
          <w:p>
            <w:pPr>
              <w:spacing w:line="288" w:lineRule="auto"/>
              <w:jc w:val="center"/>
              <w:rPr>
                <w:b/>
              </w:rPr>
            </w:pPr>
            <w:r>
              <w:rPr>
                <w:rFonts w:hint="eastAsia"/>
                <w:b/>
              </w:rPr>
              <w:t>思政元素点</w:t>
            </w:r>
          </w:p>
        </w:tc>
        <w:tc>
          <w:tcPr>
            <w:tcW w:w="2693"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w:t>
            </w:r>
            <w:r>
              <w:rPr>
                <w:b/>
              </w:rPr>
              <w:t>4</w:t>
            </w:r>
          </w:p>
        </w:tc>
        <w:tc>
          <w:tcPr>
            <w:tcW w:w="1276" w:type="dxa"/>
            <w:vAlign w:val="center"/>
          </w:tcPr>
          <w:p>
            <w:pPr>
              <w:spacing w:line="288" w:lineRule="auto"/>
            </w:pPr>
            <w:r>
              <w:rPr>
                <w:rFonts w:hint="eastAsia"/>
              </w:rPr>
              <w:t>糖尿病治疗药物</w:t>
            </w:r>
          </w:p>
        </w:tc>
        <w:tc>
          <w:tcPr>
            <w:tcW w:w="1843" w:type="dxa"/>
            <w:vAlign w:val="center"/>
          </w:tcPr>
          <w:p>
            <w:pPr>
              <w:spacing w:line="288" w:lineRule="auto"/>
            </w:pPr>
            <w:r>
              <w:rPr>
                <w:rFonts w:hint="eastAsia"/>
              </w:rPr>
              <w:t>糖尿病的</w:t>
            </w:r>
            <w:r>
              <w:t>危险因素及临床用药</w:t>
            </w:r>
          </w:p>
        </w:tc>
        <w:tc>
          <w:tcPr>
            <w:tcW w:w="2268" w:type="dxa"/>
            <w:vAlign w:val="center"/>
          </w:tcPr>
          <w:p>
            <w:pPr>
              <w:spacing w:line="288" w:lineRule="auto"/>
            </w:pPr>
            <w:r>
              <w:rPr>
                <w:rFonts w:hint="eastAsia"/>
              </w:rPr>
              <w:t>科学</w:t>
            </w:r>
            <w:r>
              <w:t>的生活方式</w:t>
            </w:r>
            <w:r>
              <w:rPr>
                <w:rFonts w:hint="eastAsia"/>
              </w:rPr>
              <w:t>对血脂异常</w:t>
            </w:r>
            <w:r>
              <w:t>、糖尿病、冠心病等疾病的预防和治疗的重要性</w:t>
            </w:r>
            <w:r>
              <w:rPr>
                <w:rFonts w:hint="eastAsia"/>
              </w:rPr>
              <w:t>。</w:t>
            </w:r>
          </w:p>
        </w:tc>
        <w:tc>
          <w:tcPr>
            <w:tcW w:w="2693" w:type="dxa"/>
            <w:vAlign w:val="center"/>
          </w:tcPr>
          <w:p>
            <w:pPr>
              <w:spacing w:line="288" w:lineRule="auto"/>
            </w:pPr>
            <w:r>
              <w:rPr>
                <w:rFonts w:hint="eastAsia"/>
              </w:rPr>
              <w:t>树立药学服务</w:t>
            </w:r>
            <w:r>
              <w:t>不仅是</w:t>
            </w:r>
            <w:r>
              <w:rPr>
                <w:rFonts w:hint="eastAsia"/>
              </w:rPr>
              <w:t>合理</w:t>
            </w:r>
            <w:r>
              <w:t>用药，更是对患者生命全方位</w:t>
            </w:r>
            <w:r>
              <w:rPr>
                <w:rFonts w:hint="eastAsia"/>
              </w:rPr>
              <w:t>关怀</w:t>
            </w:r>
            <w:r>
              <w:t>照护</w:t>
            </w:r>
            <w:r>
              <w:rPr>
                <w:rFonts w:hint="eastAsia"/>
              </w:rPr>
              <w:t>的理念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288" w:lineRule="auto"/>
              <w:jc w:val="center"/>
              <w:rPr>
                <w:b/>
              </w:rPr>
            </w:pPr>
            <w:r>
              <w:rPr>
                <w:rFonts w:hint="eastAsia"/>
                <w:b/>
              </w:rPr>
              <w:t>1</w:t>
            </w:r>
            <w:r>
              <w:rPr>
                <w:b/>
              </w:rPr>
              <w:t>5</w:t>
            </w:r>
          </w:p>
        </w:tc>
        <w:tc>
          <w:tcPr>
            <w:tcW w:w="1276" w:type="dxa"/>
            <w:vAlign w:val="center"/>
          </w:tcPr>
          <w:p>
            <w:pPr>
              <w:spacing w:line="288" w:lineRule="auto"/>
            </w:pPr>
            <w:r>
              <w:rPr>
                <w:rFonts w:hint="eastAsia"/>
              </w:rPr>
              <w:t>氨茶碱血药浓度</w:t>
            </w:r>
            <w:r>
              <w:t>测定及给药方案调整</w:t>
            </w:r>
          </w:p>
        </w:tc>
        <w:tc>
          <w:tcPr>
            <w:tcW w:w="1843" w:type="dxa"/>
            <w:vAlign w:val="center"/>
          </w:tcPr>
          <w:p>
            <w:pPr>
              <w:spacing w:line="288" w:lineRule="auto"/>
            </w:pPr>
            <w:r>
              <w:rPr>
                <w:rFonts w:hint="eastAsia"/>
              </w:rPr>
              <w:t>氨茶碱</w:t>
            </w:r>
            <w:r>
              <w:t>稳态血药浓度测定方法学评价及患者血样册等与给药方案调整</w:t>
            </w:r>
          </w:p>
        </w:tc>
        <w:tc>
          <w:tcPr>
            <w:tcW w:w="2268" w:type="dxa"/>
            <w:vAlign w:val="center"/>
          </w:tcPr>
          <w:p>
            <w:pPr>
              <w:spacing w:line="288" w:lineRule="auto"/>
            </w:pPr>
            <w:r>
              <w:rPr>
                <w:rFonts w:hint="eastAsia"/>
              </w:rPr>
              <w:t>通过</w:t>
            </w:r>
            <w:r>
              <w:t>治疗药物浓度</w:t>
            </w:r>
            <w:r>
              <w:rPr>
                <w:rFonts w:hint="eastAsia"/>
              </w:rPr>
              <w:t>监测</w:t>
            </w:r>
            <w:r>
              <w:t>和给药方案调整，</w:t>
            </w:r>
            <w:r>
              <w:rPr>
                <w:rFonts w:hint="eastAsia"/>
              </w:rPr>
              <w:t>强调</w:t>
            </w:r>
            <w:r>
              <w:t>药师谨慎用药</w:t>
            </w:r>
            <w:r>
              <w:rPr>
                <w:rFonts w:hint="eastAsia"/>
              </w:rPr>
              <w:t>和</w:t>
            </w:r>
            <w:r>
              <w:t>安全用药的意识</w:t>
            </w:r>
            <w:r>
              <w:rPr>
                <w:rFonts w:hint="eastAsia"/>
              </w:rPr>
              <w:t>。</w:t>
            </w:r>
          </w:p>
        </w:tc>
        <w:tc>
          <w:tcPr>
            <w:tcW w:w="2693" w:type="dxa"/>
            <w:vAlign w:val="center"/>
          </w:tcPr>
          <w:p>
            <w:pPr>
              <w:spacing w:line="288" w:lineRule="auto"/>
            </w:pPr>
            <w:r>
              <w:rPr>
                <w:rFonts w:hint="eastAsia"/>
              </w:rPr>
              <w:t>严谨</w:t>
            </w:r>
            <w:r>
              <w:t>而求是的科学态度和作用；对患者负责人的态度</w:t>
            </w:r>
          </w:p>
        </w:tc>
      </w:tr>
    </w:tbl>
    <w:p>
      <w:pPr>
        <w:adjustRightInd w:val="0"/>
        <w:snapToGrid w:val="0"/>
        <w:spacing w:before="156" w:beforeLines="50" w:line="360" w:lineRule="auto"/>
        <w:ind w:firstLine="422" w:firstLineChars="200"/>
        <w:rPr>
          <w:b/>
        </w:rPr>
      </w:pPr>
      <w:r>
        <w:rPr>
          <w:rFonts w:hint="eastAsia"/>
          <w:b/>
        </w:rPr>
        <w:t>七、主要教学方法：</w:t>
      </w:r>
    </w:p>
    <w:p>
      <w:pPr>
        <w:adjustRightInd w:val="0"/>
        <w:snapToGrid w:val="0"/>
        <w:spacing w:line="360" w:lineRule="auto"/>
        <w:ind w:firstLine="420" w:firstLineChars="200"/>
      </w:pPr>
      <w:r>
        <w:rPr>
          <w:rFonts w:hint="eastAsia"/>
        </w:rPr>
        <w:t>本课程采用线上线下混合式教学方法，线上教学包括在线学习和章节测验（16学时），线下教学结合</w:t>
      </w:r>
      <w:r>
        <w:t>案例</w:t>
      </w:r>
      <w:r>
        <w:rPr>
          <w:rFonts w:hint="eastAsia"/>
        </w:rPr>
        <w:t>理论讲授（36学时）、自主学习（4学时）、</w:t>
      </w:r>
      <w:r>
        <w:t>实验课</w:t>
      </w:r>
      <w:r>
        <w:rPr>
          <w:rFonts w:hint="eastAsia"/>
        </w:rPr>
        <w:t>（16学时）。</w:t>
      </w:r>
    </w:p>
    <w:p>
      <w:pPr>
        <w:adjustRightInd w:val="0"/>
        <w:snapToGrid w:val="0"/>
        <w:spacing w:line="360" w:lineRule="auto"/>
        <w:ind w:firstLine="420" w:firstLineChars="200"/>
        <w:rPr>
          <w:rFonts w:ascii="宋体" w:hAnsi="宋体"/>
        </w:rPr>
      </w:pPr>
      <w:r>
        <w:rPr>
          <w:rFonts w:hint="eastAsia"/>
        </w:rPr>
        <w:t>本课程</w:t>
      </w:r>
      <w:r>
        <w:t>安排两次学生</w:t>
      </w:r>
      <w:r>
        <w:rPr>
          <w:rFonts w:hint="eastAsia"/>
        </w:rPr>
        <w:t>自主学习。自主学习</w:t>
      </w:r>
      <w:r>
        <w:t>主要</w:t>
      </w:r>
      <w:r>
        <w:rPr>
          <w:rFonts w:hint="eastAsia"/>
        </w:rPr>
        <w:t>采取教师课前布置学习</w:t>
      </w:r>
      <w:r>
        <w:t>内容和分工</w:t>
      </w:r>
      <w:r>
        <w:rPr>
          <w:rFonts w:hint="eastAsia"/>
        </w:rPr>
        <w:t>，学生</w:t>
      </w:r>
      <w:r>
        <w:t>个人</w:t>
      </w:r>
      <w:r>
        <w:rPr>
          <w:rFonts w:hint="eastAsia"/>
        </w:rPr>
        <w:t>课前</w:t>
      </w:r>
      <w:r>
        <w:t>撰写并提交学习</w:t>
      </w:r>
      <w:r>
        <w:rPr>
          <w:rFonts w:hint="eastAsia"/>
        </w:rPr>
        <w:t>报告和课堂分组汇报两种形式完成教学任务。课后</w:t>
      </w:r>
      <w:r>
        <w:rPr>
          <w:rFonts w:hint="eastAsia" w:ascii="宋体" w:hAnsi="宋体"/>
        </w:rPr>
        <w:t>教师对知识点进行总结。自主学习</w:t>
      </w:r>
      <w:r>
        <w:rPr>
          <w:rFonts w:ascii="宋体" w:hAnsi="宋体"/>
        </w:rPr>
        <w:t>成绩</w:t>
      </w:r>
      <w:r>
        <w:rPr>
          <w:rFonts w:hint="eastAsia" w:ascii="宋体" w:hAnsi="宋体"/>
        </w:rPr>
        <w:t>由</w:t>
      </w:r>
      <w:r>
        <w:rPr>
          <w:rFonts w:ascii="宋体" w:hAnsi="宋体"/>
        </w:rPr>
        <w:t>学生个人学习报告成绩</w:t>
      </w:r>
      <w:r>
        <w:rPr>
          <w:rFonts w:hint="eastAsia" w:ascii="宋体" w:hAnsi="宋体"/>
        </w:rPr>
        <w:t>（50</w:t>
      </w:r>
      <w:r>
        <w:rPr>
          <w:rFonts w:ascii="宋体" w:hAnsi="宋体"/>
        </w:rPr>
        <w:t>%-70%</w:t>
      </w:r>
      <w:r>
        <w:rPr>
          <w:rFonts w:hint="eastAsia" w:ascii="宋体" w:hAnsi="宋体"/>
        </w:rPr>
        <w:t>）</w:t>
      </w:r>
      <w:r>
        <w:rPr>
          <w:rFonts w:ascii="宋体" w:hAnsi="宋体"/>
        </w:rPr>
        <w:t>和小组课堂汇报成绩</w:t>
      </w:r>
      <w:r>
        <w:rPr>
          <w:rFonts w:hint="eastAsia" w:ascii="宋体" w:hAnsi="宋体"/>
        </w:rPr>
        <w:t>（30</w:t>
      </w:r>
      <w:r>
        <w:rPr>
          <w:rFonts w:ascii="宋体" w:hAnsi="宋体"/>
        </w:rPr>
        <w:t>%-50%</w:t>
      </w:r>
      <w:r>
        <w:rPr>
          <w:rFonts w:hint="eastAsia" w:ascii="宋体" w:hAnsi="宋体"/>
        </w:rPr>
        <w:t>）</w:t>
      </w:r>
      <w:r>
        <w:rPr>
          <w:rFonts w:ascii="宋体" w:hAnsi="宋体"/>
        </w:rPr>
        <w:t>组成</w:t>
      </w:r>
      <w:r>
        <w:rPr>
          <w:rFonts w:hint="eastAsia" w:ascii="宋体" w:hAnsi="宋体"/>
        </w:rPr>
        <w:t>，</w:t>
      </w:r>
      <w:r>
        <w:rPr>
          <w:rFonts w:ascii="宋体" w:hAnsi="宋体"/>
        </w:rPr>
        <w:t>成绩</w:t>
      </w:r>
      <w:r>
        <w:rPr>
          <w:rFonts w:hint="eastAsia" w:ascii="宋体" w:hAnsi="宋体"/>
        </w:rPr>
        <w:t>反映</w:t>
      </w:r>
      <w:r>
        <w:rPr>
          <w:rFonts w:ascii="宋体" w:hAnsi="宋体"/>
        </w:rPr>
        <w:t>学生个体学习</w:t>
      </w:r>
      <w:r>
        <w:rPr>
          <w:rFonts w:hint="eastAsia" w:ascii="宋体" w:hAnsi="宋体"/>
        </w:rPr>
        <w:t>过程的</w:t>
      </w:r>
      <w:r>
        <w:rPr>
          <w:rFonts w:ascii="宋体" w:hAnsi="宋体"/>
        </w:rPr>
        <w:t>形成性</w:t>
      </w:r>
      <w:r>
        <w:rPr>
          <w:rFonts w:hint="eastAsia" w:ascii="宋体" w:hAnsi="宋体"/>
        </w:rPr>
        <w:t>评价</w:t>
      </w:r>
      <w:r>
        <w:rPr>
          <w:rFonts w:ascii="宋体" w:hAnsi="宋体"/>
        </w:rPr>
        <w:t>和</w:t>
      </w:r>
      <w:r>
        <w:rPr>
          <w:rFonts w:hint="eastAsia" w:ascii="宋体" w:hAnsi="宋体"/>
        </w:rPr>
        <w:t>学习</w:t>
      </w:r>
      <w:r>
        <w:rPr>
          <w:rFonts w:ascii="宋体" w:hAnsi="宋体"/>
        </w:rPr>
        <w:t>效果的终结性评价</w:t>
      </w:r>
      <w:r>
        <w:rPr>
          <w:rFonts w:hint="eastAsia" w:ascii="宋体" w:hAnsi="宋体"/>
        </w:rPr>
        <w:t>。</w:t>
      </w:r>
    </w:p>
    <w:p>
      <w:pPr>
        <w:adjustRightInd w:val="0"/>
        <w:snapToGrid w:val="0"/>
        <w:spacing w:line="360" w:lineRule="auto"/>
        <w:ind w:firstLine="422" w:firstLineChars="200"/>
        <w:rPr>
          <w:b/>
        </w:rPr>
      </w:pPr>
      <w:r>
        <w:rPr>
          <w:rFonts w:hint="eastAsia"/>
          <w:b/>
        </w:rPr>
        <w:t>八</w:t>
      </w:r>
      <w:r>
        <w:rPr>
          <w:b/>
        </w:rPr>
        <w:t>、</w:t>
      </w:r>
      <w:r>
        <w:rPr>
          <w:rFonts w:hint="eastAsia"/>
          <w:b/>
        </w:rPr>
        <w:t>参考教材：</w:t>
      </w:r>
    </w:p>
    <w:p>
      <w:pPr>
        <w:adjustRightInd w:val="0"/>
        <w:snapToGrid w:val="0"/>
        <w:spacing w:line="360" w:lineRule="auto"/>
        <w:ind w:firstLine="422" w:firstLineChars="200"/>
      </w:pPr>
      <w:r>
        <w:rPr>
          <w:rFonts w:hint="eastAsia"/>
          <w:b/>
        </w:rPr>
        <w:t xml:space="preserve">1. </w:t>
      </w:r>
      <w:r>
        <w:rPr>
          <w:rFonts w:hint="eastAsia"/>
        </w:rPr>
        <w:t>临床药理学（第二版）[</w:t>
      </w:r>
      <w:r>
        <w:t xml:space="preserve">M]. </w:t>
      </w:r>
      <w:r>
        <w:rPr>
          <w:rFonts w:hint="eastAsia"/>
        </w:rPr>
        <w:t>魏敏杰，杜智敏 主编.人民卫生出版社，2014.</w:t>
      </w:r>
    </w:p>
    <w:p>
      <w:pPr>
        <w:adjustRightInd w:val="0"/>
        <w:snapToGrid w:val="0"/>
        <w:spacing w:line="360" w:lineRule="auto"/>
        <w:ind w:firstLine="420" w:firstLineChars="200"/>
      </w:pPr>
      <w:r>
        <w:rPr>
          <w:rFonts w:hint="eastAsia"/>
        </w:rPr>
        <w:t>2. 临床药理学（第六版）[</w:t>
      </w:r>
      <w:r>
        <w:t xml:space="preserve">M]. </w:t>
      </w:r>
      <w:r>
        <w:rPr>
          <w:rFonts w:hint="eastAsia"/>
        </w:rPr>
        <w:t>李俊 主编.</w:t>
      </w:r>
      <w:r>
        <w:t xml:space="preserve"> </w:t>
      </w:r>
      <w:r>
        <w:rPr>
          <w:rFonts w:hint="eastAsia"/>
        </w:rPr>
        <w:t>人民卫生出版社，2018.</w:t>
      </w:r>
    </w:p>
    <w:p>
      <w:pPr>
        <w:adjustRightInd w:val="0"/>
        <w:snapToGrid w:val="0"/>
        <w:spacing w:line="360" w:lineRule="auto"/>
        <w:ind w:firstLine="422" w:firstLineChars="200"/>
        <w:rPr>
          <w:b/>
        </w:rPr>
      </w:pPr>
      <w:r>
        <w:rPr>
          <w:rFonts w:hint="eastAsia"/>
          <w:b/>
        </w:rPr>
        <w:t>九、教学学习资源或平台：</w:t>
      </w:r>
    </w:p>
    <w:p>
      <w:pPr>
        <w:adjustRightInd w:val="0"/>
        <w:snapToGrid w:val="0"/>
        <w:spacing w:line="360" w:lineRule="auto"/>
        <w:ind w:firstLine="420" w:firstLineChars="200"/>
      </w:pPr>
      <w:r>
        <w:rPr>
          <w:rFonts w:hint="eastAsia"/>
        </w:rPr>
        <w:t>本课程已建成线上数字资源，利用学习通教学平台给学生提供在线课程视频和章节测验，教师对学生学习过程进行指导和答疑，开展在线讨论、互动，发布在线练习或作业，上传拓展学习资料等，丰富本课程学习的途径。</w:t>
      </w:r>
    </w:p>
    <w:p>
      <w:pPr>
        <w:adjustRightInd w:val="0"/>
        <w:snapToGrid w:val="0"/>
        <w:spacing w:line="360" w:lineRule="auto"/>
        <w:ind w:firstLine="422" w:firstLineChars="200"/>
        <w:rPr>
          <w:b/>
        </w:rPr>
      </w:pPr>
      <w:r>
        <w:rPr>
          <w:rFonts w:hint="eastAsia"/>
          <w:b/>
        </w:rPr>
        <w:t>十、考核方式：</w:t>
      </w:r>
    </w:p>
    <w:p>
      <w:pPr>
        <w:adjustRightInd w:val="0"/>
        <w:snapToGrid w:val="0"/>
        <w:spacing w:line="360" w:lineRule="auto"/>
        <w:ind w:firstLine="420" w:firstLineChars="200"/>
      </w:pPr>
      <w:r>
        <w:t>（一）考核与评价原则</w:t>
      </w:r>
    </w:p>
    <w:p>
      <w:pPr>
        <w:adjustRightInd w:val="0"/>
        <w:snapToGrid w:val="0"/>
        <w:spacing w:line="360" w:lineRule="auto"/>
        <w:ind w:firstLine="420" w:firstLineChars="200"/>
      </w:pPr>
      <w:r>
        <w:t>加强教学过程管理，</w:t>
      </w:r>
      <w:r>
        <w:rPr>
          <w:rFonts w:hint="eastAsia"/>
        </w:rPr>
        <w:t>完善</w:t>
      </w:r>
      <w:r>
        <w:t>学生知识形成</w:t>
      </w:r>
      <w:r>
        <w:rPr>
          <w:rFonts w:hint="eastAsia"/>
        </w:rPr>
        <w:t>过程跟踪</w:t>
      </w:r>
      <w:r>
        <w:t>，增强学生学习的主动性、自觉性和积极性</w:t>
      </w:r>
      <w:r>
        <w:rPr>
          <w:rFonts w:hint="eastAsia"/>
        </w:rPr>
        <w:t>，采用</w:t>
      </w:r>
      <w:r>
        <w:t>过程性评价与终结性评价相结合的</w:t>
      </w:r>
      <w:r>
        <w:rPr>
          <w:rFonts w:hint="eastAsia"/>
        </w:rPr>
        <w:t>考核与评价方式。</w:t>
      </w:r>
    </w:p>
    <w:p>
      <w:pPr>
        <w:adjustRightInd w:val="0"/>
        <w:snapToGrid w:val="0"/>
        <w:spacing w:line="360" w:lineRule="auto"/>
        <w:ind w:firstLine="420" w:firstLineChars="200"/>
      </w:pPr>
      <w:r>
        <w:rPr>
          <w:rFonts w:hint="eastAsia"/>
        </w:rPr>
        <w:t>（二）成绩评定方法和实施细则</w:t>
      </w:r>
    </w:p>
    <w:p>
      <w:pPr>
        <w:adjustRightInd w:val="0"/>
        <w:snapToGrid w:val="0"/>
        <w:spacing w:line="360" w:lineRule="auto"/>
        <w:ind w:firstLine="422" w:firstLineChars="200"/>
      </w:pPr>
      <w:r>
        <w:rPr>
          <w:b/>
        </w:rPr>
        <w:t xml:space="preserve">1. </w:t>
      </w:r>
      <w:r>
        <w:t>平时成绩</w:t>
      </w:r>
      <w:r>
        <w:rPr>
          <w:rFonts w:hint="eastAsia"/>
        </w:rPr>
        <w:t>：占</w:t>
      </w:r>
      <w:r>
        <w:t>总成绩的</w:t>
      </w:r>
      <w:r>
        <w:rPr>
          <w:rFonts w:hint="eastAsia"/>
        </w:rPr>
        <w:t>40</w:t>
      </w:r>
      <w:r>
        <w:t>%</w:t>
      </w:r>
      <w:r>
        <w:rPr>
          <w:rFonts w:hint="eastAsia"/>
        </w:rPr>
        <w:t>，</w:t>
      </w:r>
      <w:r>
        <w:t>包括</w:t>
      </w:r>
      <w:r>
        <w:rPr>
          <w:rFonts w:hint="eastAsia"/>
        </w:rPr>
        <w:t>线上和线下学习过程行性评价两个部分：</w:t>
      </w:r>
    </w:p>
    <w:p>
      <w:pPr>
        <w:adjustRightInd w:val="0"/>
        <w:snapToGrid w:val="0"/>
        <w:spacing w:line="360" w:lineRule="auto"/>
        <w:ind w:firstLine="420" w:firstLineChars="200"/>
      </w:pPr>
      <w:r>
        <w:rPr>
          <w:rFonts w:hint="eastAsia"/>
        </w:rPr>
        <w:t>（1）线上学习过程评价：包括但不限于：①课程视频学习进度；②章节测验；③讨论或课程互动；④课后作业。</w:t>
      </w:r>
    </w:p>
    <w:p>
      <w:pPr>
        <w:adjustRightInd w:val="0"/>
        <w:snapToGrid w:val="0"/>
        <w:spacing w:line="360" w:lineRule="auto"/>
        <w:ind w:firstLine="420" w:firstLineChars="200"/>
      </w:pPr>
      <w:r>
        <w:rPr>
          <w:rFonts w:hint="eastAsia"/>
        </w:rPr>
        <w:t>（2）线下学习过程评价：包括但不限于：①自主学习；②实验成绩；③课堂测验；④出勤情况（</w:t>
      </w:r>
      <w:r>
        <w:t>占平时成绩</w:t>
      </w:r>
      <w:r>
        <w:rPr>
          <w:rFonts w:hint="eastAsia"/>
        </w:rPr>
        <w:t>≤10</w:t>
      </w:r>
      <w:r>
        <w:t>%</w:t>
      </w:r>
      <w:r>
        <w:rPr>
          <w:rFonts w:hint="eastAsia"/>
        </w:rPr>
        <w:t>）</w:t>
      </w:r>
    </w:p>
    <w:p>
      <w:pPr>
        <w:adjustRightInd w:val="0"/>
        <w:snapToGrid w:val="0"/>
        <w:spacing w:line="360" w:lineRule="auto"/>
        <w:ind w:firstLine="420" w:firstLineChars="200"/>
      </w:pPr>
      <w:r>
        <w:rPr>
          <w:rFonts w:hint="eastAsia"/>
        </w:rPr>
        <w:t>2. 期末考试：占</w:t>
      </w:r>
      <w:r>
        <w:t>总成绩的</w:t>
      </w:r>
      <w:r>
        <w:rPr>
          <w:rFonts w:hint="eastAsia"/>
        </w:rPr>
        <w:t>60</w:t>
      </w:r>
      <w:r>
        <w:t>%</w:t>
      </w:r>
      <w:r>
        <w:rPr>
          <w:rFonts w:hint="eastAsia"/>
        </w:rPr>
        <w:t>，采用机考</w:t>
      </w:r>
      <w:r>
        <w:t>闭卷考试</w:t>
      </w:r>
      <w:r>
        <w:rPr>
          <w:rFonts w:hint="eastAsia"/>
        </w:rPr>
        <w:t>；</w:t>
      </w:r>
      <w:r>
        <w:t>题型包括</w:t>
      </w:r>
      <w:r>
        <w:rPr>
          <w:rFonts w:hint="eastAsia"/>
        </w:rPr>
        <w:t>但</w:t>
      </w:r>
      <w:r>
        <w:t>不限于</w:t>
      </w:r>
      <w:r>
        <w:rPr>
          <w:rFonts w:hint="eastAsia"/>
        </w:rPr>
        <w:t>A</w:t>
      </w:r>
      <w:r>
        <w:t>1</w:t>
      </w:r>
      <w:r>
        <w:rPr>
          <w:rFonts w:hint="eastAsia"/>
        </w:rPr>
        <w:t>、A3、X、B</w:t>
      </w:r>
      <w:r>
        <w:t>型</w:t>
      </w:r>
      <w:r>
        <w:rPr>
          <w:rFonts w:hint="eastAsia"/>
        </w:rPr>
        <w:t>等选择题</w:t>
      </w:r>
      <w:r>
        <w:t>。</w:t>
      </w:r>
    </w:p>
    <w:p>
      <w:pPr>
        <w:adjustRightInd w:val="0"/>
        <w:snapToGrid w:val="0"/>
        <w:spacing w:line="360" w:lineRule="auto"/>
        <w:ind w:firstLine="420" w:firstLineChars="200"/>
      </w:pPr>
      <w:r>
        <w:rPr>
          <w:rFonts w:hint="eastAsia"/>
        </w:rPr>
        <w:t>（三）考核结果反馈</w:t>
      </w:r>
    </w:p>
    <w:p>
      <w:pPr>
        <w:adjustRightInd w:val="0"/>
        <w:snapToGrid w:val="0"/>
        <w:spacing w:line="360" w:lineRule="auto"/>
        <w:ind w:firstLine="420" w:firstLineChars="200"/>
      </w:pPr>
      <w:r>
        <w:rPr>
          <w:rFonts w:hint="eastAsia"/>
        </w:rPr>
        <w:t>考核成绩在教务处网站向学生发布。教师通过课程微信群、线上教学平台等途径将考核与评价的分析结果对</w:t>
      </w:r>
      <w:r>
        <w:t>学生</w:t>
      </w:r>
      <w:r>
        <w:rPr>
          <w:rFonts w:hint="eastAsia"/>
        </w:rPr>
        <w:t>进行反馈，并征集学生对本课程教学情况的意见或建议，以期今后改进教学，提高教学效果</w:t>
      </w:r>
      <w:r>
        <w:t>。</w:t>
      </w:r>
    </w:p>
    <w:p>
      <w:pPr>
        <w:adjustRightInd w:val="0"/>
        <w:snapToGrid w:val="0"/>
        <w:spacing w:line="360" w:lineRule="auto"/>
        <w:rPr>
          <w:rFonts w:hint="eastAsia"/>
        </w:rPr>
        <w:sectPr>
          <w:footerReference r:id="rId5" w:type="first"/>
          <w:footerReference r:id="rId3" w:type="default"/>
          <w:footerReference r:id="rId4" w:type="even"/>
          <w:pgSz w:w="11906" w:h="16838"/>
          <w:pgMar w:top="1440" w:right="1797" w:bottom="1440" w:left="1797" w:header="851" w:footer="992" w:gutter="0"/>
          <w:cols w:space="425" w:num="1"/>
          <w:docGrid w:type="lines" w:linePitch="312" w:charSpace="0"/>
        </w:sectPr>
      </w:pPr>
    </w:p>
    <w:p>
      <w:pPr>
        <w:adjustRightInd w:val="0"/>
        <w:snapToGrid w:val="0"/>
        <w:spacing w:line="360" w:lineRule="auto"/>
        <w:ind w:firstLine="422" w:firstLineChars="200"/>
        <w:rPr>
          <w:b/>
        </w:rPr>
      </w:pPr>
      <w:r>
        <w:rPr>
          <w:rFonts w:hint="eastAsia"/>
          <w:b/>
        </w:rPr>
        <w:t>附表：教学计划表（在相应的表格内填写教学学时数）</w:t>
      </w:r>
    </w:p>
    <w:tbl>
      <w:tblPr>
        <w:tblStyle w:val="10"/>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6096"/>
        <w:gridCol w:w="1701"/>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675" w:type="dxa"/>
            <w:vAlign w:val="center"/>
          </w:tcPr>
          <w:p>
            <w:pPr>
              <w:adjustRightInd w:val="0"/>
              <w:snapToGrid w:val="0"/>
              <w:spacing w:line="300" w:lineRule="auto"/>
              <w:jc w:val="center"/>
              <w:rPr>
                <w:b/>
              </w:rPr>
            </w:pPr>
            <w:r>
              <w:rPr>
                <w:rFonts w:hint="eastAsia"/>
                <w:b/>
              </w:rPr>
              <w:t>序号</w:t>
            </w:r>
          </w:p>
        </w:tc>
        <w:tc>
          <w:tcPr>
            <w:tcW w:w="6096" w:type="dxa"/>
            <w:vAlign w:val="center"/>
          </w:tcPr>
          <w:p>
            <w:pPr>
              <w:adjustRightInd w:val="0"/>
              <w:snapToGrid w:val="0"/>
              <w:spacing w:line="300" w:lineRule="auto"/>
              <w:jc w:val="center"/>
              <w:rPr>
                <w:b/>
              </w:rPr>
            </w:pPr>
            <w:r>
              <w:rPr>
                <w:rFonts w:hint="eastAsia"/>
                <w:b/>
              </w:rPr>
              <w:t>学习内容</w:t>
            </w:r>
          </w:p>
        </w:tc>
        <w:tc>
          <w:tcPr>
            <w:tcW w:w="1701" w:type="dxa"/>
            <w:vAlign w:val="center"/>
          </w:tcPr>
          <w:p>
            <w:pPr>
              <w:adjustRightInd w:val="0"/>
              <w:snapToGrid w:val="0"/>
              <w:spacing w:line="300" w:lineRule="auto"/>
              <w:jc w:val="center"/>
              <w:rPr>
                <w:b/>
              </w:rPr>
            </w:pPr>
            <w:r>
              <w:rPr>
                <w:rFonts w:hint="eastAsia"/>
                <w:b/>
              </w:rPr>
              <w:t>理论学时</w:t>
            </w:r>
          </w:p>
        </w:tc>
        <w:tc>
          <w:tcPr>
            <w:tcW w:w="2126" w:type="dxa"/>
            <w:vAlign w:val="center"/>
          </w:tcPr>
          <w:p>
            <w:pPr>
              <w:adjustRightInd w:val="0"/>
              <w:snapToGrid w:val="0"/>
              <w:spacing w:line="300" w:lineRule="auto"/>
              <w:jc w:val="center"/>
              <w:rPr>
                <w:b/>
              </w:rPr>
            </w:pPr>
            <w:r>
              <w:rPr>
                <w:rFonts w:hint="eastAsia"/>
                <w:b/>
              </w:rPr>
              <w:t>实验学时</w:t>
            </w:r>
          </w:p>
        </w:tc>
        <w:tc>
          <w:tcPr>
            <w:tcW w:w="2977" w:type="dxa"/>
            <w:vAlign w:val="center"/>
          </w:tcPr>
          <w:p>
            <w:pPr>
              <w:adjustRightInd w:val="0"/>
              <w:snapToGrid w:val="0"/>
              <w:spacing w:line="300"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675" w:type="dxa"/>
            <w:vAlign w:val="center"/>
          </w:tcPr>
          <w:p>
            <w:pPr>
              <w:adjustRightInd w:val="0"/>
              <w:snapToGrid w:val="0"/>
              <w:spacing w:line="360" w:lineRule="auto"/>
              <w:jc w:val="center"/>
              <w:rPr>
                <w:b/>
              </w:rPr>
            </w:pPr>
            <w:r>
              <w:rPr>
                <w:rFonts w:hint="eastAsia"/>
                <w:b/>
              </w:rPr>
              <w:t>1</w:t>
            </w:r>
          </w:p>
        </w:tc>
        <w:tc>
          <w:tcPr>
            <w:tcW w:w="6096" w:type="dxa"/>
            <w:vAlign w:val="center"/>
          </w:tcPr>
          <w:p>
            <w:pPr>
              <w:adjustRightInd w:val="0"/>
              <w:snapToGrid w:val="0"/>
              <w:spacing w:line="360" w:lineRule="auto"/>
              <w:jc w:val="center"/>
            </w:pPr>
            <w:r>
              <w:rPr>
                <w:rFonts w:hint="eastAsia"/>
              </w:rPr>
              <w:t>绪论</w:t>
            </w:r>
          </w:p>
        </w:tc>
        <w:tc>
          <w:tcPr>
            <w:tcW w:w="1701" w:type="dxa"/>
            <w:vAlign w:val="center"/>
          </w:tcPr>
          <w:p>
            <w:pPr>
              <w:adjustRightInd w:val="0"/>
              <w:snapToGrid w:val="0"/>
              <w:spacing w:line="360" w:lineRule="auto"/>
              <w:jc w:val="center"/>
            </w:pPr>
            <w:r>
              <w:rPr>
                <w:rFonts w:hint="eastAsia"/>
              </w:rPr>
              <w:t>1</w:t>
            </w:r>
          </w:p>
        </w:tc>
        <w:tc>
          <w:tcPr>
            <w:tcW w:w="2126" w:type="dxa"/>
          </w:tcPr>
          <w:p>
            <w:pPr>
              <w:adjustRightInd w:val="0"/>
              <w:snapToGrid w:val="0"/>
              <w:spacing w:line="360" w:lineRule="auto"/>
              <w:ind w:firstLine="420" w:firstLineChars="200"/>
              <w:jc w:val="center"/>
            </w:pPr>
          </w:p>
        </w:tc>
        <w:tc>
          <w:tcPr>
            <w:tcW w:w="2977" w:type="dxa"/>
            <w:vAlign w:val="center"/>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75" w:type="dxa"/>
            <w:vAlign w:val="center"/>
          </w:tcPr>
          <w:p>
            <w:pPr>
              <w:adjustRightInd w:val="0"/>
              <w:snapToGrid w:val="0"/>
              <w:spacing w:line="360" w:lineRule="auto"/>
              <w:jc w:val="center"/>
              <w:rPr>
                <w:b/>
              </w:rPr>
            </w:pPr>
            <w:r>
              <w:rPr>
                <w:rFonts w:hint="eastAsia"/>
                <w:b/>
              </w:rPr>
              <w:t>2</w:t>
            </w:r>
          </w:p>
        </w:tc>
        <w:tc>
          <w:tcPr>
            <w:tcW w:w="6096" w:type="dxa"/>
            <w:vAlign w:val="center"/>
          </w:tcPr>
          <w:p>
            <w:pPr>
              <w:adjustRightInd w:val="0"/>
              <w:snapToGrid w:val="0"/>
              <w:spacing w:line="360" w:lineRule="auto"/>
              <w:jc w:val="center"/>
            </w:pPr>
            <w:r>
              <w:rPr>
                <w:rFonts w:hint="eastAsia"/>
              </w:rPr>
              <w:t>临床药效学</w:t>
            </w:r>
          </w:p>
        </w:tc>
        <w:tc>
          <w:tcPr>
            <w:tcW w:w="1701" w:type="dxa"/>
            <w:vAlign w:val="center"/>
          </w:tcPr>
          <w:p>
            <w:pPr>
              <w:adjustRightInd w:val="0"/>
              <w:snapToGrid w:val="0"/>
              <w:spacing w:line="360" w:lineRule="auto"/>
              <w:jc w:val="center"/>
            </w:pPr>
            <w:r>
              <w:rPr>
                <w:rFonts w:hint="eastAsia"/>
              </w:rPr>
              <w:t>2</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675" w:type="dxa"/>
            <w:vAlign w:val="center"/>
          </w:tcPr>
          <w:p>
            <w:pPr>
              <w:adjustRightInd w:val="0"/>
              <w:snapToGrid w:val="0"/>
              <w:spacing w:line="360" w:lineRule="auto"/>
              <w:jc w:val="center"/>
              <w:rPr>
                <w:b/>
              </w:rPr>
            </w:pPr>
            <w:r>
              <w:rPr>
                <w:rFonts w:hint="eastAsia"/>
                <w:b/>
              </w:rPr>
              <w:t>3</w:t>
            </w:r>
          </w:p>
        </w:tc>
        <w:tc>
          <w:tcPr>
            <w:tcW w:w="6096" w:type="dxa"/>
            <w:vAlign w:val="center"/>
          </w:tcPr>
          <w:p>
            <w:pPr>
              <w:adjustRightInd w:val="0"/>
              <w:snapToGrid w:val="0"/>
              <w:spacing w:line="360" w:lineRule="auto"/>
              <w:jc w:val="center"/>
            </w:pPr>
            <w:r>
              <w:rPr>
                <w:rFonts w:hint="eastAsia"/>
              </w:rPr>
              <w:t>药物临床研究</w:t>
            </w:r>
          </w:p>
        </w:tc>
        <w:tc>
          <w:tcPr>
            <w:tcW w:w="1701" w:type="dxa"/>
            <w:vAlign w:val="center"/>
          </w:tcPr>
          <w:p>
            <w:pPr>
              <w:adjustRightInd w:val="0"/>
              <w:snapToGrid w:val="0"/>
              <w:spacing w:line="360" w:lineRule="auto"/>
              <w:jc w:val="center"/>
            </w:pPr>
            <w:r>
              <w:t>8</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675" w:type="dxa"/>
            <w:vAlign w:val="center"/>
          </w:tcPr>
          <w:p>
            <w:pPr>
              <w:adjustRightInd w:val="0"/>
              <w:snapToGrid w:val="0"/>
              <w:spacing w:line="360" w:lineRule="auto"/>
              <w:jc w:val="center"/>
              <w:rPr>
                <w:b/>
              </w:rPr>
            </w:pPr>
            <w:r>
              <w:rPr>
                <w:rFonts w:hint="eastAsia"/>
                <w:b/>
              </w:rPr>
              <w:t>4</w:t>
            </w:r>
          </w:p>
        </w:tc>
        <w:tc>
          <w:tcPr>
            <w:tcW w:w="6096" w:type="dxa"/>
            <w:vAlign w:val="center"/>
          </w:tcPr>
          <w:p>
            <w:pPr>
              <w:adjustRightInd w:val="0"/>
              <w:snapToGrid w:val="0"/>
              <w:spacing w:line="360" w:lineRule="auto"/>
              <w:jc w:val="center"/>
            </w:pPr>
            <w:r>
              <w:rPr>
                <w:rFonts w:hint="eastAsia"/>
              </w:rPr>
              <w:t>妊娠期、</w:t>
            </w:r>
            <w:r>
              <w:t>哺乳期</w:t>
            </w:r>
            <w:r>
              <w:rPr>
                <w:rFonts w:hint="eastAsia"/>
              </w:rPr>
              <w:t>与新生儿合理用药</w:t>
            </w:r>
          </w:p>
        </w:tc>
        <w:tc>
          <w:tcPr>
            <w:tcW w:w="1701" w:type="dxa"/>
            <w:vAlign w:val="center"/>
          </w:tcPr>
          <w:p>
            <w:pPr>
              <w:adjustRightInd w:val="0"/>
              <w:snapToGrid w:val="0"/>
              <w:spacing w:line="360" w:lineRule="auto"/>
              <w:jc w:val="center"/>
            </w:pPr>
            <w:r>
              <w:rPr>
                <w:rFonts w:hint="eastAsia"/>
              </w:rPr>
              <w:t>4</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675" w:type="dxa"/>
            <w:vAlign w:val="center"/>
          </w:tcPr>
          <w:p>
            <w:pPr>
              <w:adjustRightInd w:val="0"/>
              <w:snapToGrid w:val="0"/>
              <w:spacing w:line="360" w:lineRule="auto"/>
              <w:jc w:val="center"/>
              <w:rPr>
                <w:b/>
              </w:rPr>
            </w:pPr>
            <w:r>
              <w:rPr>
                <w:rFonts w:hint="eastAsia"/>
                <w:b/>
              </w:rPr>
              <w:t>5</w:t>
            </w:r>
          </w:p>
        </w:tc>
        <w:tc>
          <w:tcPr>
            <w:tcW w:w="6096" w:type="dxa"/>
            <w:vAlign w:val="center"/>
          </w:tcPr>
          <w:p>
            <w:pPr>
              <w:adjustRightInd w:val="0"/>
              <w:snapToGrid w:val="0"/>
              <w:spacing w:line="360" w:lineRule="auto"/>
              <w:jc w:val="center"/>
            </w:pPr>
            <w:r>
              <w:rPr>
                <w:rFonts w:hint="eastAsia"/>
              </w:rPr>
              <w:t>老年人合理用药</w:t>
            </w:r>
          </w:p>
        </w:tc>
        <w:tc>
          <w:tcPr>
            <w:tcW w:w="1701" w:type="dxa"/>
            <w:vAlign w:val="center"/>
          </w:tcPr>
          <w:p>
            <w:pPr>
              <w:adjustRightInd w:val="0"/>
              <w:snapToGrid w:val="0"/>
              <w:spacing w:line="360" w:lineRule="auto"/>
              <w:jc w:val="center"/>
            </w:pPr>
            <w:r>
              <w:t>4</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675" w:type="dxa"/>
            <w:vAlign w:val="center"/>
          </w:tcPr>
          <w:p>
            <w:pPr>
              <w:adjustRightInd w:val="0"/>
              <w:snapToGrid w:val="0"/>
              <w:spacing w:line="360" w:lineRule="auto"/>
              <w:jc w:val="center"/>
              <w:rPr>
                <w:b/>
              </w:rPr>
            </w:pPr>
            <w:r>
              <w:rPr>
                <w:rFonts w:hint="eastAsia"/>
                <w:b/>
              </w:rPr>
              <w:t>6</w:t>
            </w:r>
          </w:p>
        </w:tc>
        <w:tc>
          <w:tcPr>
            <w:tcW w:w="6096" w:type="dxa"/>
            <w:vAlign w:val="center"/>
          </w:tcPr>
          <w:p>
            <w:pPr>
              <w:adjustRightInd w:val="0"/>
              <w:snapToGrid w:val="0"/>
              <w:spacing w:line="360" w:lineRule="auto"/>
              <w:jc w:val="center"/>
            </w:pPr>
            <w:r>
              <w:rPr>
                <w:rFonts w:hint="eastAsia"/>
              </w:rPr>
              <w:t>时间药理学</w:t>
            </w:r>
          </w:p>
        </w:tc>
        <w:tc>
          <w:tcPr>
            <w:tcW w:w="1701" w:type="dxa"/>
            <w:vAlign w:val="center"/>
          </w:tcPr>
          <w:p>
            <w:pPr>
              <w:adjustRightInd w:val="0"/>
              <w:snapToGrid w:val="0"/>
              <w:spacing w:line="360" w:lineRule="auto"/>
              <w:jc w:val="center"/>
            </w:pPr>
            <w:r>
              <w:rPr>
                <w:rFonts w:hint="eastAsia"/>
              </w:rPr>
              <w:t>3</w:t>
            </w:r>
          </w:p>
        </w:tc>
        <w:tc>
          <w:tcPr>
            <w:tcW w:w="2126" w:type="dxa"/>
          </w:tcPr>
          <w:p>
            <w:pPr>
              <w:adjustRightInd w:val="0"/>
              <w:snapToGrid w:val="0"/>
              <w:spacing w:line="360" w:lineRule="auto"/>
              <w:ind w:firstLine="420" w:firstLineChars="200"/>
              <w:jc w:val="center"/>
            </w:pPr>
          </w:p>
        </w:tc>
        <w:tc>
          <w:tcPr>
            <w:tcW w:w="2977" w:type="dxa"/>
            <w:vAlign w:val="center"/>
          </w:tcPr>
          <w:p>
            <w:pPr>
              <w:adjustRightInd w:val="0"/>
              <w:snapToGrid w:val="0"/>
              <w:spacing w:line="360" w:lineRule="auto"/>
              <w:jc w:val="center"/>
            </w:pPr>
            <w:r>
              <w:rPr>
                <w:rFonts w:hint="eastAsia"/>
              </w:rPr>
              <w:t>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675" w:type="dxa"/>
            <w:vAlign w:val="center"/>
          </w:tcPr>
          <w:p>
            <w:pPr>
              <w:adjustRightInd w:val="0"/>
              <w:snapToGrid w:val="0"/>
              <w:spacing w:line="360" w:lineRule="auto"/>
              <w:jc w:val="center"/>
              <w:rPr>
                <w:b/>
              </w:rPr>
            </w:pPr>
            <w:r>
              <w:rPr>
                <w:rFonts w:hint="eastAsia"/>
                <w:b/>
              </w:rPr>
              <w:t>7</w:t>
            </w:r>
          </w:p>
        </w:tc>
        <w:tc>
          <w:tcPr>
            <w:tcW w:w="6096" w:type="dxa"/>
            <w:vAlign w:val="center"/>
          </w:tcPr>
          <w:p>
            <w:pPr>
              <w:adjustRightInd w:val="0"/>
              <w:snapToGrid w:val="0"/>
              <w:spacing w:line="360" w:lineRule="auto"/>
              <w:jc w:val="center"/>
            </w:pPr>
            <w:r>
              <w:rPr>
                <w:rFonts w:hint="eastAsia"/>
              </w:rPr>
              <w:t>抗菌药物的合理用药</w:t>
            </w:r>
          </w:p>
        </w:tc>
        <w:tc>
          <w:tcPr>
            <w:tcW w:w="1701" w:type="dxa"/>
            <w:vAlign w:val="center"/>
          </w:tcPr>
          <w:p>
            <w:pPr>
              <w:adjustRightInd w:val="0"/>
              <w:snapToGrid w:val="0"/>
              <w:spacing w:line="360" w:lineRule="auto"/>
              <w:jc w:val="center"/>
            </w:pPr>
            <w:r>
              <w:rPr>
                <w:rFonts w:hint="eastAsia"/>
              </w:rPr>
              <w:t>4</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8</w:t>
            </w:r>
          </w:p>
        </w:tc>
        <w:tc>
          <w:tcPr>
            <w:tcW w:w="6096" w:type="dxa"/>
            <w:vAlign w:val="center"/>
          </w:tcPr>
          <w:p>
            <w:pPr>
              <w:adjustRightInd w:val="0"/>
              <w:snapToGrid w:val="0"/>
              <w:spacing w:line="360" w:lineRule="auto"/>
              <w:jc w:val="center"/>
            </w:pPr>
            <w:r>
              <w:rPr>
                <w:rFonts w:hint="eastAsia"/>
              </w:rPr>
              <w:t>疾病状态下的合理用药</w:t>
            </w:r>
          </w:p>
        </w:tc>
        <w:tc>
          <w:tcPr>
            <w:tcW w:w="1701" w:type="dxa"/>
            <w:vAlign w:val="center"/>
          </w:tcPr>
          <w:p>
            <w:pPr>
              <w:adjustRightInd w:val="0"/>
              <w:snapToGrid w:val="0"/>
              <w:spacing w:line="360" w:lineRule="auto"/>
              <w:jc w:val="center"/>
            </w:pPr>
            <w:r>
              <w:rPr>
                <w:rFonts w:hint="eastAsia"/>
              </w:rPr>
              <w:t>3</w:t>
            </w:r>
          </w:p>
        </w:tc>
        <w:tc>
          <w:tcPr>
            <w:tcW w:w="2126" w:type="dxa"/>
          </w:tcPr>
          <w:p>
            <w:pPr>
              <w:adjustRightInd w:val="0"/>
              <w:snapToGrid w:val="0"/>
              <w:spacing w:line="360" w:lineRule="auto"/>
              <w:ind w:firstLine="422" w:firstLineChars="200"/>
              <w:jc w:val="center"/>
              <w:rPr>
                <w:b/>
              </w:rPr>
            </w:pPr>
          </w:p>
        </w:tc>
        <w:tc>
          <w:tcPr>
            <w:tcW w:w="2977" w:type="dxa"/>
          </w:tcPr>
          <w:p>
            <w:pPr>
              <w:adjustRightInd w:val="0"/>
              <w:snapToGrid w:val="0"/>
              <w:spacing w:line="360" w:lineRule="auto"/>
              <w:jc w:val="center"/>
              <w:rPr>
                <w:b/>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9</w:t>
            </w:r>
          </w:p>
        </w:tc>
        <w:tc>
          <w:tcPr>
            <w:tcW w:w="6096" w:type="dxa"/>
            <w:vAlign w:val="center"/>
          </w:tcPr>
          <w:p>
            <w:pPr>
              <w:adjustRightInd w:val="0"/>
              <w:snapToGrid w:val="0"/>
              <w:spacing w:line="360" w:lineRule="auto"/>
              <w:jc w:val="center"/>
            </w:pPr>
            <w:r>
              <w:t>遗传药理学</w:t>
            </w:r>
          </w:p>
        </w:tc>
        <w:tc>
          <w:tcPr>
            <w:tcW w:w="1701" w:type="dxa"/>
            <w:vAlign w:val="center"/>
          </w:tcPr>
          <w:p>
            <w:pPr>
              <w:adjustRightInd w:val="0"/>
              <w:snapToGrid w:val="0"/>
              <w:spacing w:line="360" w:lineRule="auto"/>
              <w:jc w:val="center"/>
            </w:pPr>
            <w:r>
              <w:rPr>
                <w:rFonts w:hint="eastAsia"/>
              </w:rPr>
              <w:t>2</w:t>
            </w:r>
          </w:p>
        </w:tc>
        <w:tc>
          <w:tcPr>
            <w:tcW w:w="2126" w:type="dxa"/>
          </w:tcPr>
          <w:p>
            <w:pPr>
              <w:adjustRightInd w:val="0"/>
              <w:snapToGrid w:val="0"/>
              <w:spacing w:line="360" w:lineRule="auto"/>
              <w:ind w:firstLine="422" w:firstLineChars="200"/>
              <w:jc w:val="center"/>
              <w:rPr>
                <w:b/>
              </w:rPr>
            </w:pPr>
          </w:p>
        </w:tc>
        <w:tc>
          <w:tcPr>
            <w:tcW w:w="2977" w:type="dxa"/>
          </w:tcPr>
          <w:p>
            <w:pPr>
              <w:adjustRightInd w:val="0"/>
              <w:snapToGrid w:val="0"/>
              <w:spacing w:line="360" w:lineRule="auto"/>
              <w:jc w:val="center"/>
              <w:rPr>
                <w:b/>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10</w:t>
            </w:r>
          </w:p>
        </w:tc>
        <w:tc>
          <w:tcPr>
            <w:tcW w:w="6096" w:type="dxa"/>
            <w:vAlign w:val="center"/>
          </w:tcPr>
          <w:p>
            <w:pPr>
              <w:adjustRightInd w:val="0"/>
              <w:snapToGrid w:val="0"/>
              <w:spacing w:line="360" w:lineRule="auto"/>
              <w:jc w:val="center"/>
            </w:pPr>
            <w:r>
              <w:rPr>
                <w:rFonts w:hint="eastAsia"/>
              </w:rPr>
              <w:t>药物相互作用</w:t>
            </w:r>
          </w:p>
        </w:tc>
        <w:tc>
          <w:tcPr>
            <w:tcW w:w="1701" w:type="dxa"/>
            <w:vAlign w:val="center"/>
          </w:tcPr>
          <w:p>
            <w:pPr>
              <w:adjustRightInd w:val="0"/>
              <w:snapToGrid w:val="0"/>
              <w:spacing w:line="360" w:lineRule="auto"/>
              <w:jc w:val="center"/>
            </w:pPr>
            <w:r>
              <w:rPr>
                <w:rFonts w:hint="eastAsia"/>
              </w:rPr>
              <w:t>3</w:t>
            </w:r>
          </w:p>
        </w:tc>
        <w:tc>
          <w:tcPr>
            <w:tcW w:w="2126" w:type="dxa"/>
          </w:tcPr>
          <w:p>
            <w:pPr>
              <w:adjustRightInd w:val="0"/>
              <w:snapToGrid w:val="0"/>
              <w:spacing w:line="360" w:lineRule="auto"/>
              <w:ind w:firstLine="422" w:firstLineChars="200"/>
              <w:jc w:val="center"/>
              <w:rPr>
                <w:b/>
              </w:rPr>
            </w:pPr>
          </w:p>
        </w:tc>
        <w:tc>
          <w:tcPr>
            <w:tcW w:w="2977" w:type="dxa"/>
          </w:tcPr>
          <w:p>
            <w:pPr>
              <w:adjustRightInd w:val="0"/>
              <w:snapToGrid w:val="0"/>
              <w:spacing w:line="360" w:lineRule="auto"/>
              <w:jc w:val="center"/>
              <w:rPr>
                <w:b/>
              </w:rP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11</w:t>
            </w:r>
          </w:p>
        </w:tc>
        <w:tc>
          <w:tcPr>
            <w:tcW w:w="6096" w:type="dxa"/>
            <w:vAlign w:val="center"/>
          </w:tcPr>
          <w:p>
            <w:pPr>
              <w:adjustRightInd w:val="0"/>
              <w:snapToGrid w:val="0"/>
              <w:spacing w:line="360" w:lineRule="auto"/>
              <w:ind w:firstLine="420" w:firstLineChars="200"/>
              <w:jc w:val="center"/>
            </w:pPr>
            <w:r>
              <w:rPr>
                <w:rFonts w:hint="eastAsia"/>
              </w:rPr>
              <w:t>治疗药物监测与个体化给药</w:t>
            </w:r>
          </w:p>
        </w:tc>
        <w:tc>
          <w:tcPr>
            <w:tcW w:w="1701" w:type="dxa"/>
            <w:vAlign w:val="center"/>
          </w:tcPr>
          <w:p>
            <w:pPr>
              <w:adjustRightInd w:val="0"/>
              <w:snapToGrid w:val="0"/>
              <w:spacing w:line="360" w:lineRule="auto"/>
              <w:jc w:val="center"/>
            </w:pPr>
            <w:r>
              <w:rPr>
                <w:rFonts w:hint="eastAsia"/>
              </w:rPr>
              <w:t>2</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12</w:t>
            </w:r>
          </w:p>
        </w:tc>
        <w:tc>
          <w:tcPr>
            <w:tcW w:w="6096" w:type="dxa"/>
            <w:vAlign w:val="center"/>
          </w:tcPr>
          <w:p>
            <w:pPr>
              <w:adjustRightInd w:val="0"/>
              <w:snapToGrid w:val="0"/>
              <w:spacing w:line="360" w:lineRule="auto"/>
              <w:ind w:firstLine="420" w:firstLineChars="200"/>
              <w:jc w:val="center"/>
            </w:pPr>
            <w:r>
              <w:rPr>
                <w:rFonts w:hint="eastAsia"/>
              </w:rPr>
              <w:t>药物不良反应与药源性疾病</w:t>
            </w:r>
          </w:p>
        </w:tc>
        <w:tc>
          <w:tcPr>
            <w:tcW w:w="1701" w:type="dxa"/>
            <w:vAlign w:val="center"/>
          </w:tcPr>
          <w:p>
            <w:pPr>
              <w:adjustRightInd w:val="0"/>
              <w:snapToGrid w:val="0"/>
              <w:spacing w:line="360" w:lineRule="auto"/>
              <w:jc w:val="center"/>
            </w:pPr>
            <w:r>
              <w:rPr>
                <w:rFonts w:hint="eastAsia"/>
              </w:rPr>
              <w:t>4</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bl>
    <w:p>
      <w:pPr>
        <w:jc w:val="center"/>
      </w:pPr>
      <w:r>
        <w:br w:type="page"/>
      </w:r>
    </w:p>
    <w:tbl>
      <w:tblPr>
        <w:tblStyle w:val="10"/>
        <w:tblW w:w="135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6096"/>
        <w:gridCol w:w="1701"/>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00" w:lineRule="auto"/>
              <w:jc w:val="center"/>
              <w:rPr>
                <w:b/>
              </w:rPr>
            </w:pPr>
            <w:r>
              <w:rPr>
                <w:rFonts w:hint="eastAsia"/>
                <w:b/>
              </w:rPr>
              <w:t>序号</w:t>
            </w:r>
          </w:p>
        </w:tc>
        <w:tc>
          <w:tcPr>
            <w:tcW w:w="6096" w:type="dxa"/>
            <w:vAlign w:val="center"/>
          </w:tcPr>
          <w:p>
            <w:pPr>
              <w:adjustRightInd w:val="0"/>
              <w:snapToGrid w:val="0"/>
              <w:spacing w:line="300" w:lineRule="auto"/>
              <w:jc w:val="center"/>
              <w:rPr>
                <w:b/>
              </w:rPr>
            </w:pPr>
            <w:r>
              <w:rPr>
                <w:rFonts w:hint="eastAsia"/>
                <w:b/>
              </w:rPr>
              <w:t>学习内容</w:t>
            </w:r>
          </w:p>
        </w:tc>
        <w:tc>
          <w:tcPr>
            <w:tcW w:w="1701" w:type="dxa"/>
            <w:vAlign w:val="center"/>
          </w:tcPr>
          <w:p>
            <w:pPr>
              <w:adjustRightInd w:val="0"/>
              <w:snapToGrid w:val="0"/>
              <w:spacing w:line="300" w:lineRule="auto"/>
              <w:jc w:val="center"/>
              <w:rPr>
                <w:b/>
              </w:rPr>
            </w:pPr>
            <w:r>
              <w:rPr>
                <w:rFonts w:hint="eastAsia"/>
                <w:b/>
              </w:rPr>
              <w:t>理论学时</w:t>
            </w:r>
          </w:p>
        </w:tc>
        <w:tc>
          <w:tcPr>
            <w:tcW w:w="2126" w:type="dxa"/>
            <w:vAlign w:val="center"/>
          </w:tcPr>
          <w:p>
            <w:pPr>
              <w:adjustRightInd w:val="0"/>
              <w:snapToGrid w:val="0"/>
              <w:spacing w:line="300" w:lineRule="auto"/>
              <w:jc w:val="center"/>
              <w:rPr>
                <w:b/>
              </w:rPr>
            </w:pPr>
            <w:r>
              <w:rPr>
                <w:rFonts w:hint="eastAsia"/>
                <w:b/>
              </w:rPr>
              <w:t>实验学时</w:t>
            </w:r>
          </w:p>
        </w:tc>
        <w:tc>
          <w:tcPr>
            <w:tcW w:w="2977" w:type="dxa"/>
            <w:vAlign w:val="center"/>
          </w:tcPr>
          <w:p>
            <w:pPr>
              <w:adjustRightInd w:val="0"/>
              <w:snapToGrid w:val="0"/>
              <w:spacing w:line="300"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13</w:t>
            </w:r>
          </w:p>
        </w:tc>
        <w:tc>
          <w:tcPr>
            <w:tcW w:w="6096" w:type="dxa"/>
            <w:vAlign w:val="center"/>
          </w:tcPr>
          <w:p>
            <w:pPr>
              <w:adjustRightInd w:val="0"/>
              <w:snapToGrid w:val="0"/>
              <w:spacing w:line="360" w:lineRule="auto"/>
              <w:ind w:firstLine="420" w:firstLineChars="200"/>
              <w:jc w:val="center"/>
            </w:pPr>
            <w:r>
              <w:t>高血压治疗</w:t>
            </w:r>
            <w:r>
              <w:rPr>
                <w:rFonts w:hint="eastAsia"/>
              </w:rPr>
              <w:t>药物</w:t>
            </w:r>
          </w:p>
        </w:tc>
        <w:tc>
          <w:tcPr>
            <w:tcW w:w="1701" w:type="dxa"/>
            <w:vAlign w:val="center"/>
          </w:tcPr>
          <w:p>
            <w:pPr>
              <w:adjustRightInd w:val="0"/>
              <w:snapToGrid w:val="0"/>
              <w:spacing w:line="360" w:lineRule="auto"/>
              <w:jc w:val="center"/>
            </w:pPr>
            <w:r>
              <w:rPr>
                <w:rFonts w:hint="eastAsia"/>
              </w:rPr>
              <w:t>3</w:t>
            </w:r>
          </w:p>
        </w:tc>
        <w:tc>
          <w:tcPr>
            <w:tcW w:w="2126" w:type="dxa"/>
          </w:tcPr>
          <w:p>
            <w:pPr>
              <w:adjustRightInd w:val="0"/>
              <w:snapToGrid w:val="0"/>
              <w:spacing w:line="360" w:lineRule="auto"/>
              <w:ind w:firstLine="420" w:firstLineChars="200"/>
              <w:jc w:val="center"/>
            </w:pPr>
          </w:p>
        </w:tc>
        <w:tc>
          <w:tcPr>
            <w:tcW w:w="2977" w:type="dxa"/>
            <w:vAlign w:val="center"/>
          </w:tcPr>
          <w:p>
            <w:pPr>
              <w:adjustRightInd w:val="0"/>
              <w:snapToGrid w:val="0"/>
              <w:spacing w:line="360" w:lineRule="auto"/>
              <w:ind w:firstLine="420" w:firstLineChars="200"/>
              <w:jc w:val="center"/>
            </w:pPr>
            <w:r>
              <w:rPr>
                <w:rFonts w:hint="eastAsia"/>
              </w:rPr>
              <w:t>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14</w:t>
            </w:r>
          </w:p>
        </w:tc>
        <w:tc>
          <w:tcPr>
            <w:tcW w:w="6096" w:type="dxa"/>
            <w:vAlign w:val="center"/>
          </w:tcPr>
          <w:p>
            <w:pPr>
              <w:adjustRightInd w:val="0"/>
              <w:snapToGrid w:val="0"/>
              <w:spacing w:line="360" w:lineRule="auto"/>
              <w:ind w:firstLine="420" w:firstLineChars="200"/>
              <w:jc w:val="center"/>
            </w:pPr>
            <w:r>
              <w:t>冠心病</w:t>
            </w:r>
            <w:r>
              <w:rPr>
                <w:rFonts w:hint="eastAsia"/>
              </w:rPr>
              <w:t>治疗药物（含血脂调节药物）</w:t>
            </w:r>
          </w:p>
        </w:tc>
        <w:tc>
          <w:tcPr>
            <w:tcW w:w="1701" w:type="dxa"/>
            <w:vAlign w:val="center"/>
          </w:tcPr>
          <w:p>
            <w:pPr>
              <w:adjustRightInd w:val="0"/>
              <w:snapToGrid w:val="0"/>
              <w:spacing w:line="360" w:lineRule="auto"/>
              <w:jc w:val="center"/>
            </w:pPr>
            <w:r>
              <w:rPr>
                <w:rFonts w:hint="eastAsia"/>
              </w:rPr>
              <w:t>5</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15</w:t>
            </w:r>
          </w:p>
        </w:tc>
        <w:tc>
          <w:tcPr>
            <w:tcW w:w="6096" w:type="dxa"/>
            <w:vAlign w:val="center"/>
          </w:tcPr>
          <w:p>
            <w:pPr>
              <w:adjustRightInd w:val="0"/>
              <w:snapToGrid w:val="0"/>
              <w:spacing w:line="360" w:lineRule="auto"/>
              <w:ind w:firstLine="420" w:firstLineChars="200"/>
              <w:jc w:val="center"/>
            </w:pPr>
            <w:r>
              <w:t>心力衰竭</w:t>
            </w:r>
            <w:r>
              <w:rPr>
                <w:rFonts w:hint="eastAsia"/>
              </w:rPr>
              <w:t>防治</w:t>
            </w:r>
            <w:r>
              <w:t>药物</w:t>
            </w:r>
          </w:p>
        </w:tc>
        <w:tc>
          <w:tcPr>
            <w:tcW w:w="1701" w:type="dxa"/>
            <w:vAlign w:val="center"/>
          </w:tcPr>
          <w:p>
            <w:pPr>
              <w:adjustRightInd w:val="0"/>
              <w:snapToGrid w:val="0"/>
              <w:spacing w:line="360" w:lineRule="auto"/>
              <w:jc w:val="center"/>
            </w:pPr>
            <w:r>
              <w:rPr>
                <w:rFonts w:hint="eastAsia"/>
              </w:rPr>
              <w:t>3</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16</w:t>
            </w:r>
          </w:p>
        </w:tc>
        <w:tc>
          <w:tcPr>
            <w:tcW w:w="6096" w:type="dxa"/>
            <w:vAlign w:val="center"/>
          </w:tcPr>
          <w:p>
            <w:pPr>
              <w:adjustRightInd w:val="0"/>
              <w:snapToGrid w:val="0"/>
              <w:spacing w:line="360" w:lineRule="auto"/>
              <w:ind w:firstLine="420" w:firstLineChars="200"/>
              <w:jc w:val="center"/>
            </w:pPr>
            <w:r>
              <w:t>糖尿病治疗药物</w:t>
            </w:r>
          </w:p>
        </w:tc>
        <w:tc>
          <w:tcPr>
            <w:tcW w:w="1701" w:type="dxa"/>
            <w:vAlign w:val="center"/>
          </w:tcPr>
          <w:p>
            <w:pPr>
              <w:adjustRightInd w:val="0"/>
              <w:snapToGrid w:val="0"/>
              <w:spacing w:line="360" w:lineRule="auto"/>
              <w:jc w:val="center"/>
            </w:pPr>
            <w:r>
              <w:t>5</w:t>
            </w:r>
          </w:p>
        </w:tc>
        <w:tc>
          <w:tcPr>
            <w:tcW w:w="2126" w:type="dxa"/>
          </w:tcPr>
          <w:p>
            <w:pPr>
              <w:adjustRightInd w:val="0"/>
              <w:snapToGrid w:val="0"/>
              <w:spacing w:line="360" w:lineRule="auto"/>
              <w:ind w:firstLine="420" w:firstLineChars="200"/>
              <w:jc w:val="center"/>
            </w:pP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17</w:t>
            </w:r>
          </w:p>
        </w:tc>
        <w:tc>
          <w:tcPr>
            <w:tcW w:w="6096" w:type="dxa"/>
            <w:vAlign w:val="center"/>
          </w:tcPr>
          <w:p>
            <w:pPr>
              <w:adjustRightInd w:val="0"/>
              <w:snapToGrid w:val="0"/>
              <w:spacing w:line="360" w:lineRule="auto"/>
              <w:ind w:firstLine="420" w:firstLineChars="200"/>
              <w:jc w:val="center"/>
            </w:pPr>
            <w:r>
              <w:rPr>
                <w:rFonts w:hint="eastAsia"/>
              </w:rPr>
              <w:t>人药物代谢酶CYP2C19基因多态性分析</w:t>
            </w:r>
          </w:p>
        </w:tc>
        <w:tc>
          <w:tcPr>
            <w:tcW w:w="1701" w:type="dxa"/>
            <w:vAlign w:val="center"/>
          </w:tcPr>
          <w:p>
            <w:pPr>
              <w:adjustRightInd w:val="0"/>
              <w:snapToGrid w:val="0"/>
              <w:spacing w:line="360" w:lineRule="auto"/>
              <w:jc w:val="center"/>
            </w:pPr>
          </w:p>
        </w:tc>
        <w:tc>
          <w:tcPr>
            <w:tcW w:w="2126" w:type="dxa"/>
            <w:vAlign w:val="center"/>
          </w:tcPr>
          <w:p>
            <w:pPr>
              <w:adjustRightInd w:val="0"/>
              <w:snapToGrid w:val="0"/>
              <w:spacing w:line="360" w:lineRule="auto"/>
              <w:ind w:firstLine="420" w:firstLineChars="200"/>
              <w:jc w:val="center"/>
            </w:pPr>
            <w:r>
              <w:rPr>
                <w:rFonts w:hint="eastAsia"/>
              </w:rPr>
              <w:t>8</w:t>
            </w: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18</w:t>
            </w:r>
          </w:p>
        </w:tc>
        <w:tc>
          <w:tcPr>
            <w:tcW w:w="6096" w:type="dxa"/>
            <w:vAlign w:val="center"/>
          </w:tcPr>
          <w:p>
            <w:pPr>
              <w:adjustRightInd w:val="0"/>
              <w:snapToGrid w:val="0"/>
              <w:spacing w:line="360" w:lineRule="auto"/>
              <w:ind w:firstLine="420" w:firstLineChars="200"/>
              <w:jc w:val="center"/>
            </w:pPr>
            <w:r>
              <w:rPr>
                <w:rFonts w:hint="eastAsia"/>
              </w:rPr>
              <w:t>氨茶碱</w:t>
            </w:r>
            <w:r>
              <w:t>血药浓度测定及患者血药浓度调整</w:t>
            </w:r>
          </w:p>
        </w:tc>
        <w:tc>
          <w:tcPr>
            <w:tcW w:w="1701" w:type="dxa"/>
            <w:vAlign w:val="center"/>
          </w:tcPr>
          <w:p>
            <w:pPr>
              <w:adjustRightInd w:val="0"/>
              <w:snapToGrid w:val="0"/>
              <w:spacing w:line="360" w:lineRule="auto"/>
              <w:jc w:val="center"/>
            </w:pPr>
          </w:p>
        </w:tc>
        <w:tc>
          <w:tcPr>
            <w:tcW w:w="2126" w:type="dxa"/>
            <w:vAlign w:val="center"/>
          </w:tcPr>
          <w:p>
            <w:pPr>
              <w:adjustRightInd w:val="0"/>
              <w:snapToGrid w:val="0"/>
              <w:spacing w:line="360" w:lineRule="auto"/>
              <w:ind w:firstLine="420" w:firstLineChars="200"/>
              <w:jc w:val="center"/>
            </w:pPr>
            <w:r>
              <w:rPr>
                <w:rFonts w:hint="eastAsia"/>
              </w:rPr>
              <w:t>5</w:t>
            </w:r>
          </w:p>
        </w:tc>
        <w:tc>
          <w:tcPr>
            <w:tcW w:w="2977" w:type="dxa"/>
          </w:tcPr>
          <w:p>
            <w:pPr>
              <w:adjustRightInd w:val="0"/>
              <w:snapToGrid w:val="0"/>
              <w:spacing w:line="360"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675" w:type="dxa"/>
            <w:vAlign w:val="center"/>
          </w:tcPr>
          <w:p>
            <w:pPr>
              <w:adjustRightInd w:val="0"/>
              <w:snapToGrid w:val="0"/>
              <w:spacing w:line="360" w:lineRule="auto"/>
              <w:jc w:val="center"/>
              <w:rPr>
                <w:b/>
              </w:rPr>
            </w:pPr>
            <w:r>
              <w:rPr>
                <w:rFonts w:hint="eastAsia"/>
                <w:b/>
              </w:rPr>
              <w:t>19</w:t>
            </w:r>
          </w:p>
        </w:tc>
        <w:tc>
          <w:tcPr>
            <w:tcW w:w="6096" w:type="dxa"/>
            <w:vAlign w:val="center"/>
          </w:tcPr>
          <w:p>
            <w:pPr>
              <w:adjustRightInd w:val="0"/>
              <w:snapToGrid w:val="0"/>
              <w:spacing w:line="360" w:lineRule="auto"/>
              <w:ind w:firstLine="420" w:firstLineChars="200"/>
              <w:jc w:val="center"/>
            </w:pPr>
            <w:r>
              <w:rPr>
                <w:rFonts w:hint="eastAsia"/>
              </w:rPr>
              <w:t>拉米夫定片人体生物等效性虚拟仿真实验</w:t>
            </w:r>
          </w:p>
        </w:tc>
        <w:tc>
          <w:tcPr>
            <w:tcW w:w="1701" w:type="dxa"/>
            <w:vAlign w:val="center"/>
          </w:tcPr>
          <w:p>
            <w:pPr>
              <w:adjustRightInd w:val="0"/>
              <w:snapToGrid w:val="0"/>
              <w:spacing w:line="360" w:lineRule="auto"/>
              <w:jc w:val="center"/>
            </w:pPr>
          </w:p>
        </w:tc>
        <w:tc>
          <w:tcPr>
            <w:tcW w:w="2126" w:type="dxa"/>
            <w:vAlign w:val="center"/>
          </w:tcPr>
          <w:p>
            <w:pPr>
              <w:adjustRightInd w:val="0"/>
              <w:snapToGrid w:val="0"/>
              <w:spacing w:line="360" w:lineRule="auto"/>
              <w:ind w:firstLine="420" w:firstLineChars="200"/>
              <w:jc w:val="center"/>
            </w:pPr>
            <w:r>
              <w:rPr>
                <w:rFonts w:hint="eastAsia"/>
              </w:rPr>
              <w:t>3</w:t>
            </w:r>
          </w:p>
        </w:tc>
        <w:tc>
          <w:tcPr>
            <w:tcW w:w="2977" w:type="dxa"/>
          </w:tcPr>
          <w:p>
            <w:pPr>
              <w:adjustRightInd w:val="0"/>
              <w:snapToGrid w:val="0"/>
              <w:spacing w:line="360" w:lineRule="auto"/>
              <w:jc w:val="center"/>
            </w:pPr>
            <w:r>
              <w:rPr>
                <w:rFonts w:hint="eastAsia"/>
              </w:rPr>
              <w:t>否</w:t>
            </w:r>
          </w:p>
        </w:tc>
      </w:tr>
    </w:tbl>
    <w:p>
      <w:pPr>
        <w:adjustRightInd w:val="0"/>
        <w:snapToGrid w:val="0"/>
        <w:spacing w:line="360" w:lineRule="auto"/>
        <w:ind w:firstLine="420" w:firstLineChars="200"/>
      </w:pPr>
    </w:p>
    <w:p>
      <w:pPr>
        <w:adjustRightInd w:val="0"/>
        <w:snapToGrid w:val="0"/>
        <w:spacing w:line="360" w:lineRule="auto"/>
        <w:ind w:firstLine="420" w:firstLineChars="200"/>
      </w:pPr>
    </w:p>
    <w:p>
      <w:pPr>
        <w:adjustRightInd w:val="0"/>
        <w:snapToGrid w:val="0"/>
        <w:spacing w:line="360" w:lineRule="auto"/>
        <w:ind w:firstLine="420" w:firstLineChars="200"/>
      </w:pPr>
    </w:p>
    <w:p/>
    <w:p>
      <w:pPr>
        <w:jc w:val="center"/>
      </w:pPr>
    </w:p>
    <w:sectPr>
      <w:headerReference r:id="rId8" w:type="first"/>
      <w:footerReference r:id="rId11" w:type="first"/>
      <w:headerReference r:id="rId6" w:type="default"/>
      <w:footerReference r:id="rId9" w:type="default"/>
      <w:headerReference r:id="rId7" w:type="even"/>
      <w:footerReference r:id="rId10" w:type="even"/>
      <w:pgSz w:w="16838" w:h="11906" w:orient="landscape"/>
      <w:pgMar w:top="1797" w:right="1440" w:bottom="1797" w:left="1440" w:header="851" w:footer="992" w:gutter="0"/>
      <w:cols w:space="425" w:num="1"/>
      <w:docGrid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separate"/>
    </w:r>
    <w:r>
      <w:rPr>
        <w:rStyle w:val="12"/>
      </w:rPr>
      <w:t>4</w:t>
    </w:r>
    <w:r>
      <w:rPr>
        <w:rStyle w:val="12"/>
      </w:rP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rPr>
        <w:rStyle w:val="12"/>
      </w:rPr>
      <w:fldChar w:fldCharType="begin"/>
    </w:r>
    <w:r>
      <w:rPr>
        <w:rStyle w:val="12"/>
      </w:rPr>
      <w:instrText xml:space="preserve">PAGE  </w:instrText>
    </w:r>
    <w:r>
      <w:rPr>
        <w:rStyle w:val="12"/>
      </w:rP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5</w:t>
    </w:r>
    <w:r>
      <w:fldChar w:fldCharType="end"/>
    </w:r>
  </w:p>
  <w:p>
    <w:pPr>
      <w:pStyle w:val="6"/>
    </w:pPr>
  </w:p>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zMGMzOWMzYzg4ZjQyY2YzM2ExM2I5NjRhZDkwMTAifQ=="/>
    <w:docVar w:name="KY_MEDREF_DOCUID" w:val="{76D38FF1-05D6-488A-A45A-1E5704B60883}"/>
    <w:docVar w:name="KY_MEDREF_VERSION" w:val="3"/>
  </w:docVars>
  <w:rsids>
    <w:rsidRoot w:val="00087859"/>
    <w:rsid w:val="00002491"/>
    <w:rsid w:val="00002C52"/>
    <w:rsid w:val="00014877"/>
    <w:rsid w:val="00037CF9"/>
    <w:rsid w:val="0004344D"/>
    <w:rsid w:val="00061450"/>
    <w:rsid w:val="000646B7"/>
    <w:rsid w:val="000657C0"/>
    <w:rsid w:val="00085BF3"/>
    <w:rsid w:val="000877E6"/>
    <w:rsid w:val="00087859"/>
    <w:rsid w:val="00090EC0"/>
    <w:rsid w:val="00095A99"/>
    <w:rsid w:val="000B45D8"/>
    <w:rsid w:val="000B7434"/>
    <w:rsid w:val="000C3614"/>
    <w:rsid w:val="000C76CE"/>
    <w:rsid w:val="000D504C"/>
    <w:rsid w:val="00117BE9"/>
    <w:rsid w:val="001236EE"/>
    <w:rsid w:val="00126938"/>
    <w:rsid w:val="0015134F"/>
    <w:rsid w:val="00156AF2"/>
    <w:rsid w:val="00156B47"/>
    <w:rsid w:val="00157D89"/>
    <w:rsid w:val="00165DC1"/>
    <w:rsid w:val="00167D41"/>
    <w:rsid w:val="00174A84"/>
    <w:rsid w:val="001870A9"/>
    <w:rsid w:val="00193ECB"/>
    <w:rsid w:val="001955A8"/>
    <w:rsid w:val="001B1282"/>
    <w:rsid w:val="001B1ED6"/>
    <w:rsid w:val="001D5871"/>
    <w:rsid w:val="001E54DC"/>
    <w:rsid w:val="00213AAE"/>
    <w:rsid w:val="00217755"/>
    <w:rsid w:val="00217C72"/>
    <w:rsid w:val="0023229C"/>
    <w:rsid w:val="00237AD9"/>
    <w:rsid w:val="002400F0"/>
    <w:rsid w:val="00242C7E"/>
    <w:rsid w:val="002516E9"/>
    <w:rsid w:val="00254FBC"/>
    <w:rsid w:val="00260860"/>
    <w:rsid w:val="002642F0"/>
    <w:rsid w:val="00265893"/>
    <w:rsid w:val="00265EA5"/>
    <w:rsid w:val="00267903"/>
    <w:rsid w:val="0028506C"/>
    <w:rsid w:val="0029259C"/>
    <w:rsid w:val="002B21BC"/>
    <w:rsid w:val="002C2698"/>
    <w:rsid w:val="002C4AA6"/>
    <w:rsid w:val="002D3EF1"/>
    <w:rsid w:val="002D6C0A"/>
    <w:rsid w:val="002F0F76"/>
    <w:rsid w:val="00325281"/>
    <w:rsid w:val="00332375"/>
    <w:rsid w:val="00332A63"/>
    <w:rsid w:val="00332F98"/>
    <w:rsid w:val="003431FF"/>
    <w:rsid w:val="0034479E"/>
    <w:rsid w:val="00355E6C"/>
    <w:rsid w:val="00363442"/>
    <w:rsid w:val="0036513C"/>
    <w:rsid w:val="00374B7F"/>
    <w:rsid w:val="00375288"/>
    <w:rsid w:val="003870E9"/>
    <w:rsid w:val="003A01FC"/>
    <w:rsid w:val="003A07B5"/>
    <w:rsid w:val="003A4128"/>
    <w:rsid w:val="003B68ED"/>
    <w:rsid w:val="003B7967"/>
    <w:rsid w:val="003D6837"/>
    <w:rsid w:val="003D7A87"/>
    <w:rsid w:val="003E1020"/>
    <w:rsid w:val="003E18D0"/>
    <w:rsid w:val="003E33F7"/>
    <w:rsid w:val="003E64C5"/>
    <w:rsid w:val="003E77AE"/>
    <w:rsid w:val="003F308E"/>
    <w:rsid w:val="0040690C"/>
    <w:rsid w:val="00425233"/>
    <w:rsid w:val="00435392"/>
    <w:rsid w:val="00436E23"/>
    <w:rsid w:val="00440ECB"/>
    <w:rsid w:val="0044600A"/>
    <w:rsid w:val="004476F7"/>
    <w:rsid w:val="0046329B"/>
    <w:rsid w:val="00473B54"/>
    <w:rsid w:val="004747EF"/>
    <w:rsid w:val="00480EA3"/>
    <w:rsid w:val="0049054C"/>
    <w:rsid w:val="004914F6"/>
    <w:rsid w:val="00491FC1"/>
    <w:rsid w:val="004A4117"/>
    <w:rsid w:val="004B3079"/>
    <w:rsid w:val="004B58E4"/>
    <w:rsid w:val="004C5F64"/>
    <w:rsid w:val="004C6746"/>
    <w:rsid w:val="004C7EA6"/>
    <w:rsid w:val="004D2A79"/>
    <w:rsid w:val="004E1B24"/>
    <w:rsid w:val="004F5490"/>
    <w:rsid w:val="004F75D3"/>
    <w:rsid w:val="005051E3"/>
    <w:rsid w:val="00520DB7"/>
    <w:rsid w:val="0053030E"/>
    <w:rsid w:val="00537472"/>
    <w:rsid w:val="005438AF"/>
    <w:rsid w:val="005610A4"/>
    <w:rsid w:val="00584D33"/>
    <w:rsid w:val="0058632D"/>
    <w:rsid w:val="0059603A"/>
    <w:rsid w:val="005A0DF2"/>
    <w:rsid w:val="005A71EE"/>
    <w:rsid w:val="005A75BE"/>
    <w:rsid w:val="005B4325"/>
    <w:rsid w:val="005C3F48"/>
    <w:rsid w:val="005C7923"/>
    <w:rsid w:val="005D05AE"/>
    <w:rsid w:val="005D34C1"/>
    <w:rsid w:val="005E030F"/>
    <w:rsid w:val="005E0383"/>
    <w:rsid w:val="005F13DA"/>
    <w:rsid w:val="005F156C"/>
    <w:rsid w:val="005F4F91"/>
    <w:rsid w:val="006060DE"/>
    <w:rsid w:val="00611159"/>
    <w:rsid w:val="00612ABF"/>
    <w:rsid w:val="006131A1"/>
    <w:rsid w:val="0061482B"/>
    <w:rsid w:val="00621DD9"/>
    <w:rsid w:val="00623AB3"/>
    <w:rsid w:val="0062572C"/>
    <w:rsid w:val="00640461"/>
    <w:rsid w:val="00645C82"/>
    <w:rsid w:val="006520FF"/>
    <w:rsid w:val="006561E7"/>
    <w:rsid w:val="006576CC"/>
    <w:rsid w:val="00663208"/>
    <w:rsid w:val="006670AA"/>
    <w:rsid w:val="00686038"/>
    <w:rsid w:val="00693C92"/>
    <w:rsid w:val="0069526C"/>
    <w:rsid w:val="006A4BD9"/>
    <w:rsid w:val="006B103F"/>
    <w:rsid w:val="006B47BA"/>
    <w:rsid w:val="006B5CC0"/>
    <w:rsid w:val="006C668F"/>
    <w:rsid w:val="006D6122"/>
    <w:rsid w:val="006F121E"/>
    <w:rsid w:val="006F34A6"/>
    <w:rsid w:val="006F37CC"/>
    <w:rsid w:val="00726009"/>
    <w:rsid w:val="00726526"/>
    <w:rsid w:val="00731E06"/>
    <w:rsid w:val="00743141"/>
    <w:rsid w:val="007676B5"/>
    <w:rsid w:val="00767E8C"/>
    <w:rsid w:val="00776294"/>
    <w:rsid w:val="00784F8C"/>
    <w:rsid w:val="007906A2"/>
    <w:rsid w:val="00794933"/>
    <w:rsid w:val="007B2294"/>
    <w:rsid w:val="007B7C38"/>
    <w:rsid w:val="007C07FC"/>
    <w:rsid w:val="007C7D5D"/>
    <w:rsid w:val="007D371C"/>
    <w:rsid w:val="007E0062"/>
    <w:rsid w:val="007E70F1"/>
    <w:rsid w:val="007F0B78"/>
    <w:rsid w:val="007F28DF"/>
    <w:rsid w:val="007F7283"/>
    <w:rsid w:val="00801825"/>
    <w:rsid w:val="008021B4"/>
    <w:rsid w:val="00806A6A"/>
    <w:rsid w:val="00826DEA"/>
    <w:rsid w:val="00827000"/>
    <w:rsid w:val="008312EF"/>
    <w:rsid w:val="008407C7"/>
    <w:rsid w:val="008413B9"/>
    <w:rsid w:val="00843C85"/>
    <w:rsid w:val="00850704"/>
    <w:rsid w:val="008557BB"/>
    <w:rsid w:val="00856629"/>
    <w:rsid w:val="008567AA"/>
    <w:rsid w:val="00863FEA"/>
    <w:rsid w:val="0087318B"/>
    <w:rsid w:val="0088337E"/>
    <w:rsid w:val="00885695"/>
    <w:rsid w:val="008920B8"/>
    <w:rsid w:val="008A32BE"/>
    <w:rsid w:val="008A7C13"/>
    <w:rsid w:val="008B1E83"/>
    <w:rsid w:val="008B6A2A"/>
    <w:rsid w:val="008C66F9"/>
    <w:rsid w:val="008F0DE9"/>
    <w:rsid w:val="008F7E39"/>
    <w:rsid w:val="00900ADB"/>
    <w:rsid w:val="0090297B"/>
    <w:rsid w:val="00912FA7"/>
    <w:rsid w:val="00933367"/>
    <w:rsid w:val="00933452"/>
    <w:rsid w:val="00936C8E"/>
    <w:rsid w:val="00937DB7"/>
    <w:rsid w:val="00940325"/>
    <w:rsid w:val="009545C1"/>
    <w:rsid w:val="00965637"/>
    <w:rsid w:val="00971579"/>
    <w:rsid w:val="009764D4"/>
    <w:rsid w:val="00983259"/>
    <w:rsid w:val="009867EF"/>
    <w:rsid w:val="00993657"/>
    <w:rsid w:val="009B1D38"/>
    <w:rsid w:val="009B58C2"/>
    <w:rsid w:val="009C0F11"/>
    <w:rsid w:val="009C1CF8"/>
    <w:rsid w:val="009C5C0B"/>
    <w:rsid w:val="009D18EC"/>
    <w:rsid w:val="009F3F44"/>
    <w:rsid w:val="00A0102E"/>
    <w:rsid w:val="00A01E5C"/>
    <w:rsid w:val="00A02799"/>
    <w:rsid w:val="00A04AFF"/>
    <w:rsid w:val="00A16917"/>
    <w:rsid w:val="00A4705D"/>
    <w:rsid w:val="00A553B8"/>
    <w:rsid w:val="00A57748"/>
    <w:rsid w:val="00A60D78"/>
    <w:rsid w:val="00A62480"/>
    <w:rsid w:val="00A65E70"/>
    <w:rsid w:val="00A76D4A"/>
    <w:rsid w:val="00A850DE"/>
    <w:rsid w:val="00A8524C"/>
    <w:rsid w:val="00AB15A7"/>
    <w:rsid w:val="00AB29E4"/>
    <w:rsid w:val="00AB3792"/>
    <w:rsid w:val="00AB7726"/>
    <w:rsid w:val="00AC729C"/>
    <w:rsid w:val="00AD381D"/>
    <w:rsid w:val="00AD51C3"/>
    <w:rsid w:val="00AF2037"/>
    <w:rsid w:val="00AF58FA"/>
    <w:rsid w:val="00AF6811"/>
    <w:rsid w:val="00AF6827"/>
    <w:rsid w:val="00B101BA"/>
    <w:rsid w:val="00B11395"/>
    <w:rsid w:val="00B11D4A"/>
    <w:rsid w:val="00B6294A"/>
    <w:rsid w:val="00B81C46"/>
    <w:rsid w:val="00B84B6C"/>
    <w:rsid w:val="00B90719"/>
    <w:rsid w:val="00B963D3"/>
    <w:rsid w:val="00B9762C"/>
    <w:rsid w:val="00B97A9F"/>
    <w:rsid w:val="00BC08AD"/>
    <w:rsid w:val="00BF0EC4"/>
    <w:rsid w:val="00BF1017"/>
    <w:rsid w:val="00BF38E3"/>
    <w:rsid w:val="00BF45A0"/>
    <w:rsid w:val="00C0082B"/>
    <w:rsid w:val="00C0268B"/>
    <w:rsid w:val="00C151B0"/>
    <w:rsid w:val="00C221A1"/>
    <w:rsid w:val="00C2480C"/>
    <w:rsid w:val="00C31F34"/>
    <w:rsid w:val="00C6646C"/>
    <w:rsid w:val="00C74C38"/>
    <w:rsid w:val="00C7525B"/>
    <w:rsid w:val="00C86EA6"/>
    <w:rsid w:val="00C97C68"/>
    <w:rsid w:val="00C97F4F"/>
    <w:rsid w:val="00CA2651"/>
    <w:rsid w:val="00CF6544"/>
    <w:rsid w:val="00CF6FCB"/>
    <w:rsid w:val="00D06854"/>
    <w:rsid w:val="00D32E55"/>
    <w:rsid w:val="00D40841"/>
    <w:rsid w:val="00D41E2F"/>
    <w:rsid w:val="00D52D35"/>
    <w:rsid w:val="00D5635B"/>
    <w:rsid w:val="00D56F6E"/>
    <w:rsid w:val="00D62903"/>
    <w:rsid w:val="00D8642E"/>
    <w:rsid w:val="00D87AC0"/>
    <w:rsid w:val="00DA1005"/>
    <w:rsid w:val="00DA2A87"/>
    <w:rsid w:val="00DB388F"/>
    <w:rsid w:val="00DC23C1"/>
    <w:rsid w:val="00DC5C2A"/>
    <w:rsid w:val="00DD6789"/>
    <w:rsid w:val="00DE4BFF"/>
    <w:rsid w:val="00E00CF7"/>
    <w:rsid w:val="00E05F65"/>
    <w:rsid w:val="00E10DF6"/>
    <w:rsid w:val="00E216A6"/>
    <w:rsid w:val="00E247CE"/>
    <w:rsid w:val="00E27D68"/>
    <w:rsid w:val="00E42132"/>
    <w:rsid w:val="00E4545C"/>
    <w:rsid w:val="00E464B0"/>
    <w:rsid w:val="00E52FB6"/>
    <w:rsid w:val="00E77544"/>
    <w:rsid w:val="00E83259"/>
    <w:rsid w:val="00EA631E"/>
    <w:rsid w:val="00EA7A18"/>
    <w:rsid w:val="00EA7ABF"/>
    <w:rsid w:val="00EB43FC"/>
    <w:rsid w:val="00EB53A3"/>
    <w:rsid w:val="00EB6B46"/>
    <w:rsid w:val="00EC507F"/>
    <w:rsid w:val="00EE0179"/>
    <w:rsid w:val="00EE237F"/>
    <w:rsid w:val="00EE26D2"/>
    <w:rsid w:val="00F0390A"/>
    <w:rsid w:val="00F10622"/>
    <w:rsid w:val="00F23393"/>
    <w:rsid w:val="00F2793F"/>
    <w:rsid w:val="00F37F25"/>
    <w:rsid w:val="00F43E75"/>
    <w:rsid w:val="00F55099"/>
    <w:rsid w:val="00F74587"/>
    <w:rsid w:val="00F80C44"/>
    <w:rsid w:val="00F82403"/>
    <w:rsid w:val="00F91EEE"/>
    <w:rsid w:val="00FA1B0D"/>
    <w:rsid w:val="00FA5348"/>
    <w:rsid w:val="00FB529B"/>
    <w:rsid w:val="00FD201D"/>
    <w:rsid w:val="00FD51AB"/>
    <w:rsid w:val="00FD7536"/>
    <w:rsid w:val="00FE35CF"/>
    <w:rsid w:val="00FE7F3C"/>
    <w:rsid w:val="00FF165F"/>
    <w:rsid w:val="01205D5C"/>
    <w:rsid w:val="012B077D"/>
    <w:rsid w:val="01B12E58"/>
    <w:rsid w:val="024056CF"/>
    <w:rsid w:val="03FE7EAB"/>
    <w:rsid w:val="05880370"/>
    <w:rsid w:val="05B15E6B"/>
    <w:rsid w:val="069773B1"/>
    <w:rsid w:val="06A603A5"/>
    <w:rsid w:val="0777244E"/>
    <w:rsid w:val="07F27D26"/>
    <w:rsid w:val="08D004EB"/>
    <w:rsid w:val="09B331A8"/>
    <w:rsid w:val="09CD44CE"/>
    <w:rsid w:val="0A0334A7"/>
    <w:rsid w:val="0A297D89"/>
    <w:rsid w:val="0A8F5D00"/>
    <w:rsid w:val="0AC51722"/>
    <w:rsid w:val="0C344522"/>
    <w:rsid w:val="0C3703FE"/>
    <w:rsid w:val="0D703BC7"/>
    <w:rsid w:val="0EEE7499"/>
    <w:rsid w:val="0F6048C2"/>
    <w:rsid w:val="101939F4"/>
    <w:rsid w:val="108C51BC"/>
    <w:rsid w:val="10EC17B7"/>
    <w:rsid w:val="10F23FED"/>
    <w:rsid w:val="11696DAB"/>
    <w:rsid w:val="1380123A"/>
    <w:rsid w:val="15D43CCD"/>
    <w:rsid w:val="1A6525DA"/>
    <w:rsid w:val="1AAC1077"/>
    <w:rsid w:val="1AB31597"/>
    <w:rsid w:val="1AD64371"/>
    <w:rsid w:val="1B193AF0"/>
    <w:rsid w:val="1B99105E"/>
    <w:rsid w:val="1B9969DF"/>
    <w:rsid w:val="1B9D3A33"/>
    <w:rsid w:val="1C1D5B6F"/>
    <w:rsid w:val="1C931680"/>
    <w:rsid w:val="1E087E4C"/>
    <w:rsid w:val="1E312EFF"/>
    <w:rsid w:val="1E332637"/>
    <w:rsid w:val="1E781C81"/>
    <w:rsid w:val="1E990AA4"/>
    <w:rsid w:val="1F5C21FD"/>
    <w:rsid w:val="21090163"/>
    <w:rsid w:val="219263AA"/>
    <w:rsid w:val="22121299"/>
    <w:rsid w:val="24547947"/>
    <w:rsid w:val="249B7324"/>
    <w:rsid w:val="24E360AB"/>
    <w:rsid w:val="257F09F3"/>
    <w:rsid w:val="277B43B9"/>
    <w:rsid w:val="283A6E54"/>
    <w:rsid w:val="29AF3167"/>
    <w:rsid w:val="29ED4157"/>
    <w:rsid w:val="2A685EFA"/>
    <w:rsid w:val="2AAE596D"/>
    <w:rsid w:val="2C0A273F"/>
    <w:rsid w:val="2CBC5963"/>
    <w:rsid w:val="2CE35D0C"/>
    <w:rsid w:val="2F2B3D85"/>
    <w:rsid w:val="2F8310E0"/>
    <w:rsid w:val="31BB7B27"/>
    <w:rsid w:val="32B53CA7"/>
    <w:rsid w:val="34371578"/>
    <w:rsid w:val="35852AB6"/>
    <w:rsid w:val="376161AB"/>
    <w:rsid w:val="37695060"/>
    <w:rsid w:val="39A8417E"/>
    <w:rsid w:val="3B2A0FAA"/>
    <w:rsid w:val="3E8157A4"/>
    <w:rsid w:val="3E84659D"/>
    <w:rsid w:val="3FC01339"/>
    <w:rsid w:val="40CB0DB1"/>
    <w:rsid w:val="4235270E"/>
    <w:rsid w:val="424B1F31"/>
    <w:rsid w:val="428C5FE1"/>
    <w:rsid w:val="43035652"/>
    <w:rsid w:val="43E20674"/>
    <w:rsid w:val="447C2876"/>
    <w:rsid w:val="452B711A"/>
    <w:rsid w:val="469519CD"/>
    <w:rsid w:val="48415F32"/>
    <w:rsid w:val="487E46E3"/>
    <w:rsid w:val="49641441"/>
    <w:rsid w:val="497E3790"/>
    <w:rsid w:val="4A79607F"/>
    <w:rsid w:val="4BF5382E"/>
    <w:rsid w:val="4C9170DB"/>
    <w:rsid w:val="4EBE3A8B"/>
    <w:rsid w:val="4FD80B7D"/>
    <w:rsid w:val="4FEE65F2"/>
    <w:rsid w:val="507B60D8"/>
    <w:rsid w:val="50B52C6C"/>
    <w:rsid w:val="50DC3320"/>
    <w:rsid w:val="50DD11D2"/>
    <w:rsid w:val="51C744FA"/>
    <w:rsid w:val="5257202C"/>
    <w:rsid w:val="534355D8"/>
    <w:rsid w:val="53886466"/>
    <w:rsid w:val="538E1C7E"/>
    <w:rsid w:val="540B40F8"/>
    <w:rsid w:val="543A1E06"/>
    <w:rsid w:val="550C78A6"/>
    <w:rsid w:val="55624D96"/>
    <w:rsid w:val="55B87486"/>
    <w:rsid w:val="579801F1"/>
    <w:rsid w:val="57CE02DB"/>
    <w:rsid w:val="57E649C8"/>
    <w:rsid w:val="58C639A4"/>
    <w:rsid w:val="5947124D"/>
    <w:rsid w:val="596C0CB3"/>
    <w:rsid w:val="59927FEE"/>
    <w:rsid w:val="59B2243E"/>
    <w:rsid w:val="5A5D3255"/>
    <w:rsid w:val="5AAE70AA"/>
    <w:rsid w:val="5B762F0C"/>
    <w:rsid w:val="5DAD3649"/>
    <w:rsid w:val="5E5D6E1D"/>
    <w:rsid w:val="5EE017FC"/>
    <w:rsid w:val="60EC59E7"/>
    <w:rsid w:val="61E635CD"/>
    <w:rsid w:val="627B3D15"/>
    <w:rsid w:val="62F15D85"/>
    <w:rsid w:val="633B34A5"/>
    <w:rsid w:val="63BD306D"/>
    <w:rsid w:val="63F73C3D"/>
    <w:rsid w:val="649B244D"/>
    <w:rsid w:val="653B3C30"/>
    <w:rsid w:val="65F253BC"/>
    <w:rsid w:val="660252A1"/>
    <w:rsid w:val="69766E48"/>
    <w:rsid w:val="6AA85097"/>
    <w:rsid w:val="6AB44268"/>
    <w:rsid w:val="6AD95A7D"/>
    <w:rsid w:val="6B1B7E43"/>
    <w:rsid w:val="6BE6205C"/>
    <w:rsid w:val="6E0C7F17"/>
    <w:rsid w:val="6E9A5E18"/>
    <w:rsid w:val="6F55769C"/>
    <w:rsid w:val="6FE205E9"/>
    <w:rsid w:val="73697BBA"/>
    <w:rsid w:val="73AF7CC3"/>
    <w:rsid w:val="746740F9"/>
    <w:rsid w:val="754461E9"/>
    <w:rsid w:val="75BF3AC1"/>
    <w:rsid w:val="764E5AFA"/>
    <w:rsid w:val="779F3BAA"/>
    <w:rsid w:val="77F263D0"/>
    <w:rsid w:val="7B491CCA"/>
    <w:rsid w:val="7BAD0F8C"/>
    <w:rsid w:val="7BF87D2D"/>
    <w:rsid w:val="7C052521"/>
    <w:rsid w:val="7C8D4919"/>
    <w:rsid w:val="7CF16C56"/>
    <w:rsid w:val="7D9046C1"/>
    <w:rsid w:val="7E4E01DD"/>
    <w:rsid w:val="7F435763"/>
    <w:rsid w:val="7FEC1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autoRedefine/>
    <w:qFormat/>
    <w:uiPriority w:val="0"/>
    <w:pPr>
      <w:jc w:val="left"/>
    </w:pPr>
  </w:style>
  <w:style w:type="paragraph" w:styleId="3">
    <w:name w:val="Body Text Indent"/>
    <w:basedOn w:val="1"/>
    <w:autoRedefine/>
    <w:qFormat/>
    <w:uiPriority w:val="0"/>
    <w:pPr>
      <w:ind w:firstLine="456" w:firstLineChars="200"/>
    </w:pPr>
    <w:rPr>
      <w:rFonts w:ascii="宋体" w:hAnsi="宋体"/>
    </w:rPr>
  </w:style>
  <w:style w:type="paragraph" w:styleId="4">
    <w:name w:val="Plain Text"/>
    <w:basedOn w:val="1"/>
    <w:link w:val="15"/>
    <w:qFormat/>
    <w:uiPriority w:val="0"/>
    <w:rPr>
      <w:rFonts w:ascii="宋体" w:hAnsi="Courier New"/>
      <w:szCs w:val="20"/>
    </w:rPr>
  </w:style>
  <w:style w:type="paragraph" w:styleId="5">
    <w:name w:val="Date"/>
    <w:basedOn w:val="1"/>
    <w:next w:val="1"/>
    <w:autoRedefine/>
    <w:qFormat/>
    <w:uiPriority w:val="0"/>
    <w:pPr>
      <w:ind w:left="100" w:leftChars="2500"/>
    </w:pPr>
  </w:style>
  <w:style w:type="paragraph" w:styleId="6">
    <w:name w:val="footer"/>
    <w:basedOn w:val="1"/>
    <w:link w:val="18"/>
    <w:autoRedefine/>
    <w:qFormat/>
    <w:uiPriority w:val="99"/>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qFormat/>
    <w:uiPriority w:val="0"/>
    <w:pPr>
      <w:widowControl/>
      <w:jc w:val="left"/>
    </w:pPr>
    <w:rPr>
      <w:rFonts w:ascii="宋体" w:hAnsi="宋体" w:cs="宋体"/>
      <w:kern w:val="0"/>
      <w:sz w:val="24"/>
    </w:rPr>
  </w:style>
  <w:style w:type="paragraph" w:styleId="9">
    <w:name w:val="annotation subject"/>
    <w:basedOn w:val="2"/>
    <w:next w:val="2"/>
    <w:link w:val="20"/>
    <w:autoRedefine/>
    <w:qFormat/>
    <w:uiPriority w:val="0"/>
    <w:rPr>
      <w:b/>
      <w:bCs/>
    </w:rPr>
  </w:style>
  <w:style w:type="character" w:styleId="12">
    <w:name w:val="page number"/>
    <w:basedOn w:val="11"/>
    <w:qFormat/>
    <w:uiPriority w:val="0"/>
  </w:style>
  <w:style w:type="character" w:styleId="13">
    <w:name w:val="annotation reference"/>
    <w:basedOn w:val="11"/>
    <w:autoRedefine/>
    <w:qFormat/>
    <w:uiPriority w:val="0"/>
    <w:rPr>
      <w:sz w:val="21"/>
      <w:szCs w:val="21"/>
    </w:rPr>
  </w:style>
  <w:style w:type="character" w:customStyle="1" w:styleId="14">
    <w:name w:val="页眉 字符"/>
    <w:link w:val="7"/>
    <w:autoRedefine/>
    <w:qFormat/>
    <w:uiPriority w:val="0"/>
    <w:rPr>
      <w:rFonts w:eastAsia="宋体"/>
      <w:kern w:val="2"/>
      <w:sz w:val="18"/>
      <w:szCs w:val="18"/>
      <w:lang w:val="en-US" w:eastAsia="zh-CN" w:bidi="ar-SA"/>
    </w:rPr>
  </w:style>
  <w:style w:type="character" w:customStyle="1" w:styleId="15">
    <w:name w:val="纯文本 字符"/>
    <w:link w:val="4"/>
    <w:autoRedefine/>
    <w:qFormat/>
    <w:uiPriority w:val="0"/>
    <w:rPr>
      <w:rFonts w:ascii="宋体" w:hAnsi="Courier New" w:eastAsia="宋体"/>
      <w:kern w:val="2"/>
      <w:sz w:val="21"/>
      <w:lang w:val="en-US" w:eastAsia="zh-CN" w:bidi="ar-SA"/>
    </w:rPr>
  </w:style>
  <w:style w:type="paragraph" w:customStyle="1" w:styleId="16">
    <w:name w:val="ordinary-output target-output"/>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17">
    <w:name w:val="high-light-bg4"/>
    <w:basedOn w:val="11"/>
    <w:autoRedefine/>
    <w:qFormat/>
    <w:uiPriority w:val="0"/>
  </w:style>
  <w:style w:type="character" w:customStyle="1" w:styleId="18">
    <w:name w:val="页脚 字符"/>
    <w:link w:val="6"/>
    <w:autoRedefine/>
    <w:qFormat/>
    <w:uiPriority w:val="99"/>
    <w:rPr>
      <w:kern w:val="2"/>
      <w:sz w:val="18"/>
      <w:szCs w:val="18"/>
    </w:rPr>
  </w:style>
  <w:style w:type="character" w:customStyle="1" w:styleId="19">
    <w:name w:val="批注文字 字符"/>
    <w:basedOn w:val="11"/>
    <w:link w:val="2"/>
    <w:autoRedefine/>
    <w:qFormat/>
    <w:uiPriority w:val="0"/>
    <w:rPr>
      <w:kern w:val="2"/>
      <w:sz w:val="21"/>
      <w:szCs w:val="24"/>
    </w:rPr>
  </w:style>
  <w:style w:type="character" w:customStyle="1" w:styleId="20">
    <w:name w:val="批注主题 字符"/>
    <w:basedOn w:val="19"/>
    <w:link w:val="9"/>
    <w:autoRedefine/>
    <w:qFormat/>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7</Pages>
  <Words>603</Words>
  <Characters>3440</Characters>
  <Lines>28</Lines>
  <Paragraphs>8</Paragraphs>
  <TotalTime>0</TotalTime>
  <ScaleCrop>false</ScaleCrop>
  <LinksUpToDate>false</LinksUpToDate>
  <CharactersWithSpaces>4035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2019-10-29T08:52:00Z</dcterms:created>
  <dc:creator>王秋生</dc:creator>
  <cp:lastModifiedBy>Administrator</cp:lastModifiedBy>
  <cp:lastPrinted>2013-10-08T03:34:00Z</cp:lastPrinted>
  <dcterms:modified xsi:type="dcterms:W3CDTF">2024-03-27T08:00:50Z</dcterms:modified>
  <dc:title>关于修订教学大纲、见、实习大纲文字格式要求</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1186091C8BAE4D89860CEFE81E422C0E_13</vt:lpwstr>
  </property>
</Properties>
</file>