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ascii="宋体" w:hAnsi="宋体"/>
          <w:b/>
          <w:sz w:val="28"/>
          <w:u w:val="single"/>
        </w:rPr>
        <w:t>__临 床 药 理 学__</w:t>
      </w:r>
      <w:r>
        <w:rPr>
          <w:rFonts w:hint="eastAsia"/>
          <w:b/>
          <w:sz w:val="28"/>
        </w:rPr>
        <w:t xml:space="preserve">课 程 指 南 </w:t>
      </w:r>
    </w:p>
    <w:p>
      <w:pPr>
        <w:spacing w:line="360" w:lineRule="auto"/>
        <w:jc w:val="center"/>
        <w:rPr>
          <w:b/>
          <w:sz w:val="28"/>
        </w:rPr>
      </w:pPr>
    </w:p>
    <w:p>
      <w:pPr>
        <w:adjustRightInd w:val="0"/>
        <w:snapToGrid w:val="0"/>
        <w:spacing w:line="360" w:lineRule="auto"/>
        <w:ind w:firstLine="422" w:firstLineChars="200"/>
        <w:rPr>
          <w:szCs w:val="21"/>
        </w:rPr>
      </w:pPr>
      <w:r>
        <w:rPr>
          <w:rFonts w:hint="eastAsia"/>
          <w:b/>
          <w:szCs w:val="21"/>
        </w:rPr>
        <w:t xml:space="preserve">一、课程信息 </w:t>
      </w:r>
      <w:r>
        <w:rPr>
          <w:b/>
          <w:szCs w:val="21"/>
        </w:rPr>
        <w:t xml:space="preserve">  </w:t>
      </w:r>
      <w:r>
        <w:rPr>
          <w:rFonts w:hint="eastAsia"/>
          <w:b/>
          <w:szCs w:val="21"/>
        </w:rPr>
        <w:t>课程编号：</w:t>
      </w:r>
      <w:r>
        <w:rPr>
          <w:szCs w:val="21"/>
        </w:rPr>
        <w:t>1906007007</w:t>
      </w:r>
      <w:r>
        <w:rPr>
          <w:rFonts w:hint="eastAsia"/>
          <w:szCs w:val="21"/>
        </w:rPr>
        <w:t xml:space="preserve"> </w:t>
      </w:r>
      <w:r>
        <w:rPr>
          <w:szCs w:val="21"/>
        </w:rPr>
        <w:t xml:space="preserve">  </w:t>
      </w:r>
      <w:r>
        <w:rPr>
          <w:rFonts w:hint="eastAsia"/>
          <w:b/>
          <w:szCs w:val="21"/>
        </w:rPr>
        <w:t>中文：</w:t>
      </w:r>
      <w:r>
        <w:rPr>
          <w:rFonts w:hint="eastAsia"/>
          <w:szCs w:val="21"/>
        </w:rPr>
        <w:t xml:space="preserve">临床药理学 </w:t>
      </w:r>
    </w:p>
    <w:p>
      <w:pPr>
        <w:adjustRightInd w:val="0"/>
        <w:snapToGrid w:val="0"/>
        <w:spacing w:line="360" w:lineRule="auto"/>
        <w:ind w:firstLine="4427" w:firstLineChars="2100"/>
        <w:rPr>
          <w:szCs w:val="21"/>
        </w:rPr>
      </w:pPr>
      <w:r>
        <w:rPr>
          <w:rFonts w:hint="eastAsia"/>
          <w:b/>
          <w:szCs w:val="21"/>
        </w:rPr>
        <w:t xml:space="preserve">英文： </w:t>
      </w:r>
      <w:r>
        <w:rPr>
          <w:rFonts w:hint="eastAsia"/>
        </w:rPr>
        <w:t>C</w:t>
      </w:r>
      <w:r>
        <w:t xml:space="preserve">linical </w:t>
      </w:r>
      <w:r>
        <w:rPr>
          <w:rFonts w:hint="eastAsia"/>
        </w:rPr>
        <w:t>P</w:t>
      </w:r>
      <w:r>
        <w:t>harmacology</w:t>
      </w:r>
    </w:p>
    <w:p>
      <w:pPr>
        <w:adjustRightInd w:val="0"/>
        <w:snapToGrid w:val="0"/>
        <w:spacing w:line="360" w:lineRule="auto"/>
        <w:ind w:firstLine="422" w:firstLineChars="200"/>
        <w:rPr>
          <w:szCs w:val="21"/>
        </w:rPr>
      </w:pPr>
      <w:r>
        <w:rPr>
          <w:rFonts w:hint="eastAsia"/>
          <w:b/>
          <w:szCs w:val="21"/>
        </w:rPr>
        <w:t>二、开课学院（系）、</w:t>
      </w:r>
      <w:r>
        <w:rPr>
          <w:rFonts w:hint="eastAsia"/>
          <w:b/>
        </w:rPr>
        <w:t>系（教研室）</w:t>
      </w:r>
      <w:r>
        <w:rPr>
          <w:rFonts w:hint="eastAsia"/>
          <w:b/>
          <w:szCs w:val="21"/>
        </w:rPr>
        <w:t>：</w:t>
      </w:r>
      <w:r>
        <w:rPr>
          <w:rFonts w:hint="eastAsia"/>
          <w:szCs w:val="21"/>
        </w:rPr>
        <w:t xml:space="preserve">药学院临床药学系           </w:t>
      </w:r>
    </w:p>
    <w:p>
      <w:pPr>
        <w:adjustRightInd w:val="0"/>
        <w:snapToGrid w:val="0"/>
        <w:spacing w:line="360" w:lineRule="auto"/>
        <w:ind w:firstLine="422" w:firstLineChars="200"/>
        <w:rPr>
          <w:b/>
        </w:rPr>
      </w:pPr>
      <w:r>
        <w:rPr>
          <w:rFonts w:hint="eastAsia"/>
          <w:b/>
          <w:szCs w:val="21"/>
        </w:rPr>
        <w:t>三、学时学分：</w:t>
      </w:r>
      <w:r>
        <w:rPr>
          <w:rFonts w:hint="eastAsia"/>
          <w:b/>
        </w:rPr>
        <w:t>学分：3</w:t>
      </w:r>
      <w:r>
        <w:rPr>
          <w:b/>
        </w:rPr>
        <w:t>.5</w:t>
      </w:r>
      <w:r>
        <w:rPr>
          <w:rFonts w:hint="eastAsia"/>
          <w:b/>
        </w:rPr>
        <w:t>； 总学时：6</w:t>
      </w:r>
      <w:r>
        <w:rPr>
          <w:b/>
        </w:rPr>
        <w:t>3</w:t>
      </w:r>
      <w:r>
        <w:rPr>
          <w:rFonts w:hint="eastAsia"/>
          <w:b/>
        </w:rPr>
        <w:t>； 理论学时：6</w:t>
      </w:r>
      <w:r>
        <w:rPr>
          <w:b/>
        </w:rPr>
        <w:t>3</w:t>
      </w:r>
      <w:r>
        <w:rPr>
          <w:rFonts w:hint="eastAsia"/>
          <w:b/>
          <w:lang w:eastAsia="zh-CN"/>
        </w:rPr>
        <w:t>（</w:t>
      </w:r>
      <w:r>
        <w:rPr>
          <w:b/>
        </w:rPr>
        <w:t>自主学习学时：</w:t>
      </w:r>
      <w:r>
        <w:rPr>
          <w:rFonts w:hint="eastAsia"/>
          <w:b/>
        </w:rPr>
        <w:t>5</w:t>
      </w:r>
      <w:r>
        <w:rPr>
          <w:rFonts w:hint="eastAsia"/>
          <w:b/>
          <w:lang w:eastAsia="zh-CN"/>
        </w:rPr>
        <w:t>）</w:t>
      </w:r>
      <w:r>
        <w:rPr>
          <w:rFonts w:hint="eastAsia"/>
          <w:b/>
        </w:rPr>
        <w:t>；实验或实践学时：0；</w:t>
      </w:r>
    </w:p>
    <w:p>
      <w:pPr>
        <w:adjustRightInd w:val="0"/>
        <w:snapToGrid w:val="0"/>
        <w:spacing w:line="360" w:lineRule="auto"/>
        <w:ind w:firstLine="422" w:firstLineChars="200"/>
        <w:rPr>
          <w:szCs w:val="21"/>
        </w:rPr>
      </w:pPr>
      <w:r>
        <w:rPr>
          <w:rFonts w:hint="eastAsia"/>
          <w:b/>
          <w:szCs w:val="21"/>
        </w:rPr>
        <w:t>四、</w:t>
      </w:r>
      <w:r>
        <w:rPr>
          <w:rFonts w:hint="eastAsia"/>
          <w:b/>
        </w:rPr>
        <w:t>授课对象： 药学（本科）专业</w:t>
      </w:r>
    </w:p>
    <w:p>
      <w:pPr>
        <w:adjustRightInd w:val="0"/>
        <w:snapToGrid w:val="0"/>
        <w:spacing w:line="360" w:lineRule="auto"/>
        <w:ind w:firstLine="422" w:firstLineChars="200"/>
        <w:rPr>
          <w:b/>
          <w:szCs w:val="21"/>
        </w:rPr>
      </w:pPr>
      <w:r>
        <w:rPr>
          <w:rFonts w:hint="eastAsia"/>
          <w:b/>
          <w:szCs w:val="21"/>
        </w:rPr>
        <w:t>五、课程基本内容简介：</w:t>
      </w:r>
      <w:bookmarkStart w:id="0" w:name="_GoBack"/>
      <w:bookmarkEnd w:id="0"/>
    </w:p>
    <w:p>
      <w:pPr>
        <w:adjustRightInd w:val="0"/>
        <w:snapToGrid w:val="0"/>
        <w:spacing w:line="360" w:lineRule="auto"/>
        <w:ind w:firstLine="420" w:firstLineChars="200"/>
      </w:pPr>
      <w:r>
        <w:rPr>
          <w:rFonts w:hint="eastAsia"/>
        </w:rPr>
        <w:t>临床药理学是研究药物与人体相互作用规律的一门学科。它以药理学和临床医学为基础，阐述药物代谢动力学（简称药动学）、药物效应动力学（简称药效学）、毒副反应的性质和机制及药物相互作用规律等内容。本课程以临床合理用药为主线，围绕个体化用药这个重点和难点问题，内容分为总论和各论两部分，涵盖了当今临床药理学所涉及的主要方面。总论内容主要有：临床药理学概述、临床药效动力学、临床药代动力学、药物的临床研究、时间药理学、特殊人群（妊娠期、哺乳期妇女、新生儿和儿童、老年人）合理用药、疾病对药物的药效学和药动学的影响、遗传药理学、药物不良反应与监察、治疗药物监测及临床应用、药物相互作用，抗菌药物合理用药等；各论分别介绍了高血压的临床用药、冠心病的临床用药、心力衰竭的临床用药、血脂异常的临床用药、糖尿病的临床用药等内容。学习本课程有助于药学专业学生完善自身的知识结构，掌握临床合理用药的理论知识和技能，适应社会对药学专业人才知识结构与技能需求的新形势，为今后开展临床药学和药学服务与监护工作或从事药品研发和临床药理学研究打下坚实的基础。</w:t>
      </w:r>
    </w:p>
    <w:p>
      <w:pPr>
        <w:adjustRightInd w:val="0"/>
        <w:snapToGrid w:val="0"/>
        <w:spacing w:line="360" w:lineRule="auto"/>
        <w:ind w:firstLine="420" w:firstLineChars="200"/>
      </w:pPr>
      <w:r>
        <w:rPr>
          <w:rFonts w:hint="eastAsia"/>
        </w:rPr>
        <w:t>本课程</w:t>
      </w:r>
      <w:r>
        <w:t>为双语课程。</w:t>
      </w:r>
    </w:p>
    <w:p>
      <w:pPr>
        <w:adjustRightInd w:val="0"/>
        <w:snapToGrid w:val="0"/>
        <w:spacing w:line="360" w:lineRule="auto"/>
        <w:ind w:firstLine="422" w:firstLineChars="200"/>
        <w:rPr>
          <w:b/>
          <w:szCs w:val="21"/>
        </w:rPr>
      </w:pPr>
      <w:r>
        <w:rPr>
          <w:rFonts w:hint="eastAsia"/>
          <w:b/>
          <w:szCs w:val="21"/>
        </w:rPr>
        <w:t>六、</w:t>
      </w:r>
      <w:r>
        <w:rPr>
          <w:rFonts w:hint="eastAsia"/>
          <w:b/>
        </w:rPr>
        <w:t>教学目标</w:t>
      </w:r>
    </w:p>
    <w:p>
      <w:pPr>
        <w:adjustRightInd w:val="0"/>
        <w:snapToGrid w:val="0"/>
        <w:spacing w:line="360" w:lineRule="auto"/>
        <w:ind w:firstLine="422" w:firstLineChars="200"/>
        <w:rPr>
          <w:b/>
          <w:szCs w:val="21"/>
        </w:rPr>
      </w:pPr>
      <w:r>
        <w:rPr>
          <w:rFonts w:hint="eastAsia"/>
          <w:b/>
          <w:szCs w:val="21"/>
        </w:rPr>
        <w:t>1.知识学习目标</w:t>
      </w:r>
    </w:p>
    <w:p>
      <w:pPr>
        <w:adjustRightInd w:val="0"/>
        <w:snapToGrid w:val="0"/>
        <w:spacing w:line="360" w:lineRule="auto"/>
        <w:ind w:firstLine="420" w:firstLineChars="200"/>
      </w:pPr>
      <w:r>
        <w:t>通过本课程学习，</w:t>
      </w:r>
      <w:r>
        <w:rPr>
          <w:rFonts w:hint="eastAsia"/>
        </w:rPr>
        <w:t>学生应</w:t>
      </w:r>
      <w:r>
        <w:t>掌握</w:t>
      </w:r>
      <w:r>
        <w:rPr>
          <w:rFonts w:hint="eastAsia"/>
        </w:rPr>
        <w:t>与</w:t>
      </w:r>
      <w:r>
        <w:t>临床合理用药和药物评价相关的</w:t>
      </w:r>
      <w:r>
        <w:rPr>
          <w:rFonts w:hint="eastAsia"/>
        </w:rPr>
        <w:t>药效学</w:t>
      </w:r>
      <w:r>
        <w:t>、药动学理论、治疗药物监测、特殊人群合理用药、抗菌药物合理使用、药物相互作用、药物不良反应的监测与判断分析、</w:t>
      </w:r>
      <w:r>
        <w:rPr>
          <w:rFonts w:hint="eastAsia"/>
        </w:rPr>
        <w:t>疾病状态及</w:t>
      </w:r>
      <w:r>
        <w:t>遗传因素</w:t>
      </w:r>
      <w:r>
        <w:rPr>
          <w:rFonts w:hint="eastAsia"/>
        </w:rPr>
        <w:t>对</w:t>
      </w:r>
      <w:r>
        <w:t>药物作用</w:t>
      </w:r>
      <w:r>
        <w:rPr>
          <w:rFonts w:hint="eastAsia"/>
        </w:rPr>
        <w:t>的</w:t>
      </w:r>
      <w:r>
        <w:t>影响、</w:t>
      </w:r>
      <w:r>
        <w:rPr>
          <w:rFonts w:hint="eastAsia"/>
        </w:rPr>
        <w:t>常见慢性</w:t>
      </w:r>
      <w:r>
        <w:t>心血管疾病</w:t>
      </w:r>
      <w:r>
        <w:rPr>
          <w:rFonts w:hint="eastAsia"/>
        </w:rPr>
        <w:t>和</w:t>
      </w:r>
      <w:r>
        <w:t>代谢性疾病的药物作用和合理用药</w:t>
      </w:r>
      <w:r>
        <w:rPr>
          <w:rFonts w:hint="eastAsia"/>
        </w:rPr>
        <w:t>的</w:t>
      </w:r>
      <w:r>
        <w:t>知识。</w:t>
      </w:r>
    </w:p>
    <w:p>
      <w:pPr>
        <w:adjustRightInd w:val="0"/>
        <w:snapToGrid w:val="0"/>
        <w:spacing w:line="360" w:lineRule="auto"/>
        <w:ind w:firstLine="422" w:firstLineChars="200"/>
        <w:rPr>
          <w:b/>
          <w:szCs w:val="21"/>
        </w:rPr>
      </w:pPr>
      <w:r>
        <w:rPr>
          <w:rFonts w:hint="eastAsia"/>
          <w:b/>
          <w:szCs w:val="21"/>
        </w:rPr>
        <w:t>2.技能学习目标</w:t>
      </w:r>
    </w:p>
    <w:p>
      <w:pPr>
        <w:adjustRightInd w:val="0"/>
        <w:snapToGrid w:val="0"/>
        <w:spacing w:line="360" w:lineRule="auto"/>
        <w:ind w:firstLine="420" w:firstLineChars="200"/>
        <w:rPr>
          <w:szCs w:val="21"/>
        </w:rPr>
      </w:pPr>
      <w:r>
        <w:rPr>
          <w:szCs w:val="21"/>
        </w:rPr>
        <w:t>学生应</w:t>
      </w:r>
      <w:r>
        <w:rPr>
          <w:rFonts w:hint="eastAsia"/>
          <w:szCs w:val="21"/>
        </w:rPr>
        <w:t>在学习</w:t>
      </w:r>
      <w:r>
        <w:rPr>
          <w:szCs w:val="21"/>
        </w:rPr>
        <w:t>临床药理学知识的基础上，掌握科学研究和评价药物</w:t>
      </w:r>
      <w:r>
        <w:rPr>
          <w:rFonts w:hint="eastAsia"/>
          <w:szCs w:val="21"/>
        </w:rPr>
        <w:t>在</w:t>
      </w:r>
      <w:r>
        <w:rPr>
          <w:szCs w:val="21"/>
        </w:rPr>
        <w:t>人体内的药效学和药动学规律</w:t>
      </w:r>
      <w:r>
        <w:rPr>
          <w:rFonts w:hint="eastAsia"/>
          <w:szCs w:val="21"/>
        </w:rPr>
        <w:t>技能；具备</w:t>
      </w:r>
      <w:r>
        <w:rPr>
          <w:szCs w:val="21"/>
        </w:rPr>
        <w:t>独立</w:t>
      </w:r>
      <w:r>
        <w:rPr>
          <w:rFonts w:hint="eastAsia"/>
          <w:szCs w:val="21"/>
        </w:rPr>
        <w:t>制定</w:t>
      </w:r>
      <w:r>
        <w:rPr>
          <w:szCs w:val="21"/>
        </w:rPr>
        <w:t>和调整给药方案</w:t>
      </w:r>
      <w:r>
        <w:rPr>
          <w:rFonts w:hint="eastAsia"/>
          <w:szCs w:val="21"/>
        </w:rPr>
        <w:t>，指导</w:t>
      </w:r>
      <w:r>
        <w:rPr>
          <w:szCs w:val="21"/>
        </w:rPr>
        <w:t>特殊人群</w:t>
      </w:r>
      <w:r>
        <w:rPr>
          <w:rFonts w:hint="eastAsia"/>
          <w:szCs w:val="21"/>
        </w:rPr>
        <w:t>和</w:t>
      </w:r>
      <w:r>
        <w:rPr>
          <w:szCs w:val="21"/>
        </w:rPr>
        <w:t>临床常见慢性疾病的</w:t>
      </w:r>
      <w:r>
        <w:rPr>
          <w:rFonts w:hint="eastAsia"/>
          <w:szCs w:val="21"/>
        </w:rPr>
        <w:t>合理</w:t>
      </w:r>
      <w:r>
        <w:rPr>
          <w:szCs w:val="21"/>
        </w:rPr>
        <w:t>用药</w:t>
      </w:r>
      <w:r>
        <w:rPr>
          <w:rFonts w:hint="eastAsia"/>
          <w:szCs w:val="21"/>
        </w:rPr>
        <w:t>，进行</w:t>
      </w:r>
      <w:r>
        <w:rPr>
          <w:szCs w:val="21"/>
        </w:rPr>
        <w:t>药物的安全性和</w:t>
      </w:r>
      <w:r>
        <w:rPr>
          <w:rFonts w:hint="eastAsia"/>
          <w:szCs w:val="21"/>
        </w:rPr>
        <w:t>药物</w:t>
      </w:r>
      <w:r>
        <w:rPr>
          <w:szCs w:val="21"/>
        </w:rPr>
        <w:t>相互作用</w:t>
      </w:r>
      <w:r>
        <w:rPr>
          <w:rFonts w:hint="eastAsia"/>
          <w:szCs w:val="21"/>
        </w:rPr>
        <w:t>预测</w:t>
      </w:r>
      <w:r>
        <w:rPr>
          <w:szCs w:val="21"/>
        </w:rPr>
        <w:t>、</w:t>
      </w:r>
      <w:r>
        <w:rPr>
          <w:rFonts w:hint="eastAsia"/>
          <w:szCs w:val="21"/>
        </w:rPr>
        <w:t>预防</w:t>
      </w:r>
      <w:r>
        <w:rPr>
          <w:szCs w:val="21"/>
        </w:rPr>
        <w:t>和分析，</w:t>
      </w:r>
      <w:r>
        <w:rPr>
          <w:rFonts w:hint="eastAsia"/>
          <w:szCs w:val="21"/>
        </w:rPr>
        <w:t>开展</w:t>
      </w:r>
      <w:r>
        <w:rPr>
          <w:szCs w:val="21"/>
        </w:rPr>
        <w:t>治疗药物监</w:t>
      </w:r>
      <w:r>
        <w:rPr>
          <w:rFonts w:hint="eastAsia"/>
          <w:szCs w:val="21"/>
        </w:rPr>
        <w:t>测</w:t>
      </w:r>
      <w:r>
        <w:rPr>
          <w:szCs w:val="21"/>
        </w:rPr>
        <w:t>等</w:t>
      </w:r>
      <w:r>
        <w:rPr>
          <w:rFonts w:hint="eastAsia"/>
          <w:szCs w:val="21"/>
        </w:rPr>
        <w:t>专业能力。</w:t>
      </w:r>
    </w:p>
    <w:p>
      <w:pPr>
        <w:adjustRightInd w:val="0"/>
        <w:snapToGrid w:val="0"/>
        <w:spacing w:line="360" w:lineRule="auto"/>
        <w:ind w:firstLine="422" w:firstLineChars="200"/>
        <w:rPr>
          <w:b/>
          <w:szCs w:val="21"/>
        </w:rPr>
      </w:pPr>
    </w:p>
    <w:p>
      <w:pPr>
        <w:adjustRightInd w:val="0"/>
        <w:snapToGrid w:val="0"/>
        <w:ind w:firstLine="422" w:firstLineChars="200"/>
        <w:rPr>
          <w:szCs w:val="21"/>
        </w:rPr>
      </w:pPr>
      <w:r>
        <w:rPr>
          <w:rFonts w:hint="eastAsia"/>
          <w:b/>
          <w:szCs w:val="21"/>
        </w:rPr>
        <w:t>3.思政目标</w:t>
      </w:r>
    </w:p>
    <w:tbl>
      <w:tblPr>
        <w:tblStyle w:val="11"/>
        <w:tblpPr w:leftFromText="180" w:rightFromText="180" w:vertAnchor="text" w:horzAnchor="margin" w:tblpY="277"/>
        <w:tblOverlap w:val="never"/>
        <w:tblW w:w="85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464"/>
        <w:gridCol w:w="1797"/>
        <w:gridCol w:w="2268"/>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1464" w:type="dxa"/>
          </w:tcPr>
          <w:p>
            <w:pPr>
              <w:spacing w:line="288" w:lineRule="auto"/>
              <w:jc w:val="center"/>
              <w:rPr>
                <w:b/>
              </w:rPr>
            </w:pPr>
            <w:r>
              <w:rPr>
                <w:rFonts w:hint="eastAsia"/>
                <w:b/>
              </w:rPr>
              <w:t>融入章节</w:t>
            </w:r>
          </w:p>
        </w:tc>
        <w:tc>
          <w:tcPr>
            <w:tcW w:w="1797" w:type="dxa"/>
          </w:tcPr>
          <w:p>
            <w:pPr>
              <w:spacing w:line="288" w:lineRule="auto"/>
              <w:jc w:val="center"/>
              <w:rPr>
                <w:b/>
              </w:rPr>
            </w:pPr>
            <w:r>
              <w:rPr>
                <w:rFonts w:hint="eastAsia"/>
                <w:b/>
              </w:rPr>
              <w:t>融入专业知识点</w:t>
            </w:r>
          </w:p>
        </w:tc>
        <w:tc>
          <w:tcPr>
            <w:tcW w:w="2268" w:type="dxa"/>
          </w:tcPr>
          <w:p>
            <w:pPr>
              <w:spacing w:line="288" w:lineRule="auto"/>
              <w:jc w:val="center"/>
              <w:rPr>
                <w:b/>
              </w:rPr>
            </w:pPr>
            <w:r>
              <w:rPr>
                <w:rFonts w:hint="eastAsia"/>
                <w:b/>
              </w:rPr>
              <w:t>思政元素点</w:t>
            </w:r>
          </w:p>
        </w:tc>
        <w:tc>
          <w:tcPr>
            <w:tcW w:w="2340"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w:t>
            </w:r>
          </w:p>
        </w:tc>
        <w:tc>
          <w:tcPr>
            <w:tcW w:w="1464" w:type="dxa"/>
            <w:vAlign w:val="center"/>
          </w:tcPr>
          <w:p>
            <w:pPr>
              <w:spacing w:line="288" w:lineRule="auto"/>
            </w:pPr>
            <w:r>
              <w:rPr>
                <w:rFonts w:hint="eastAsia"/>
              </w:rPr>
              <w:t>绪论</w:t>
            </w:r>
          </w:p>
        </w:tc>
        <w:tc>
          <w:tcPr>
            <w:tcW w:w="1797" w:type="dxa"/>
            <w:vAlign w:val="center"/>
          </w:tcPr>
          <w:p>
            <w:pPr>
              <w:spacing w:line="288" w:lineRule="auto"/>
            </w:pPr>
            <w:r>
              <w:rPr>
                <w:rFonts w:hint="eastAsia"/>
              </w:rPr>
              <w:t>临床药理学职能</w:t>
            </w:r>
          </w:p>
        </w:tc>
        <w:tc>
          <w:tcPr>
            <w:tcW w:w="2268" w:type="dxa"/>
            <w:vAlign w:val="center"/>
          </w:tcPr>
          <w:p>
            <w:pPr>
              <w:spacing w:line="288" w:lineRule="auto"/>
            </w:pPr>
            <w:r>
              <w:rPr>
                <w:rFonts w:hint="eastAsia"/>
              </w:rPr>
              <w:t>药师的岗位职责</w:t>
            </w:r>
          </w:p>
        </w:tc>
        <w:tc>
          <w:tcPr>
            <w:tcW w:w="2340" w:type="dxa"/>
            <w:vAlign w:val="center"/>
          </w:tcPr>
          <w:p>
            <w:pPr>
              <w:spacing w:line="288" w:lineRule="auto"/>
            </w:pPr>
            <w:r>
              <w:rPr>
                <w:rFonts w:hint="eastAsia"/>
                <w:color w:val="0D0D0D"/>
                <w:szCs w:val="21"/>
              </w:rPr>
              <w:t>激发学生的专业自豪感，提高职业认同感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2</w:t>
            </w:r>
          </w:p>
        </w:tc>
        <w:tc>
          <w:tcPr>
            <w:tcW w:w="1464" w:type="dxa"/>
            <w:vAlign w:val="center"/>
          </w:tcPr>
          <w:p>
            <w:pPr>
              <w:spacing w:line="288" w:lineRule="auto"/>
            </w:pPr>
            <w:r>
              <w:rPr>
                <w:rFonts w:hint="eastAsia"/>
              </w:rPr>
              <w:t>临床药效学</w:t>
            </w:r>
          </w:p>
        </w:tc>
        <w:tc>
          <w:tcPr>
            <w:tcW w:w="1797" w:type="dxa"/>
            <w:vAlign w:val="center"/>
          </w:tcPr>
          <w:p>
            <w:pPr>
              <w:spacing w:line="288" w:lineRule="auto"/>
            </w:pPr>
            <w:r>
              <w:rPr>
                <w:rFonts w:hint="eastAsia"/>
              </w:rPr>
              <w:t>受体学说的临床意义</w:t>
            </w:r>
          </w:p>
        </w:tc>
        <w:tc>
          <w:tcPr>
            <w:tcW w:w="2268" w:type="dxa"/>
            <w:vAlign w:val="center"/>
          </w:tcPr>
          <w:p>
            <w:pPr>
              <w:spacing w:line="288" w:lineRule="auto"/>
            </w:pPr>
            <w:r>
              <w:rPr>
                <w:rFonts w:hint="eastAsia"/>
              </w:rPr>
              <w:t>临床实践中运用专业理论判断、解决问题</w:t>
            </w:r>
          </w:p>
        </w:tc>
        <w:tc>
          <w:tcPr>
            <w:tcW w:w="2340" w:type="dxa"/>
            <w:vAlign w:val="center"/>
          </w:tcPr>
          <w:p>
            <w:pPr>
              <w:spacing w:line="288" w:lineRule="auto"/>
            </w:pPr>
            <w:r>
              <w:rPr>
                <w:rFonts w:hint="eastAsia" w:ascii="Arial" w:hAnsi="Arial" w:cs="Arial"/>
                <w:color w:val="0D0D0D"/>
                <w:szCs w:val="21"/>
                <w:shd w:val="clear" w:color="auto" w:fill="FFFFFF"/>
              </w:rPr>
              <w:t>培养和</w:t>
            </w:r>
            <w:r>
              <w:rPr>
                <w:rFonts w:ascii="Arial" w:hAnsi="Arial" w:cs="Arial"/>
                <w:color w:val="0D0D0D"/>
                <w:szCs w:val="21"/>
                <w:shd w:val="clear" w:color="auto" w:fill="FFFFFF"/>
              </w:rPr>
              <w:t>提高</w:t>
            </w:r>
            <w:r>
              <w:rPr>
                <w:rFonts w:hint="eastAsia" w:ascii="Arial" w:hAnsi="Arial" w:cs="Arial"/>
                <w:color w:val="0D0D0D"/>
                <w:szCs w:val="21"/>
                <w:shd w:val="clear" w:color="auto" w:fill="FFFFFF"/>
              </w:rPr>
              <w:t>学生</w:t>
            </w:r>
            <w:r>
              <w:rPr>
                <w:rFonts w:ascii="Arial" w:hAnsi="Arial" w:cs="Arial"/>
                <w:color w:val="0D0D0D"/>
                <w:szCs w:val="21"/>
                <w:shd w:val="clear" w:color="auto" w:fill="FFFFFF"/>
              </w:rPr>
              <w:t>的</w:t>
            </w:r>
            <w:r>
              <w:rPr>
                <w:rFonts w:hint="eastAsia" w:ascii="Arial" w:hAnsi="Arial" w:cs="Arial"/>
                <w:color w:val="0D0D0D"/>
                <w:szCs w:val="21"/>
                <w:shd w:val="clear" w:color="auto" w:fill="FFFFFF"/>
              </w:rPr>
              <w:t>药学服务</w:t>
            </w:r>
            <w:r>
              <w:rPr>
                <w:rFonts w:ascii="Arial" w:hAnsi="Arial" w:cs="Arial"/>
                <w:color w:val="0D0D0D"/>
                <w:szCs w:val="21"/>
                <w:shd w:val="clear" w:color="auto" w:fill="FFFFFF"/>
              </w:rPr>
              <w:t>意识和综合素质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3</w:t>
            </w:r>
          </w:p>
        </w:tc>
        <w:tc>
          <w:tcPr>
            <w:tcW w:w="1464" w:type="dxa"/>
            <w:vAlign w:val="center"/>
          </w:tcPr>
          <w:p>
            <w:pPr>
              <w:spacing w:line="288" w:lineRule="auto"/>
            </w:pPr>
            <w:r>
              <w:rPr>
                <w:rFonts w:hint="eastAsia"/>
              </w:rPr>
              <w:t>药物临床研究</w:t>
            </w:r>
          </w:p>
        </w:tc>
        <w:tc>
          <w:tcPr>
            <w:tcW w:w="1797" w:type="dxa"/>
            <w:vAlign w:val="center"/>
          </w:tcPr>
          <w:p>
            <w:pPr>
              <w:spacing w:line="288" w:lineRule="auto"/>
            </w:pPr>
            <w:r>
              <w:rPr>
                <w:rFonts w:hint="eastAsia"/>
              </w:rPr>
              <w:t>GCP；临床试验的设计</w:t>
            </w:r>
          </w:p>
        </w:tc>
        <w:tc>
          <w:tcPr>
            <w:tcW w:w="2268" w:type="dxa"/>
            <w:vAlign w:val="center"/>
          </w:tcPr>
          <w:p>
            <w:pPr>
              <w:spacing w:line="288" w:lineRule="auto"/>
            </w:pPr>
            <w:r>
              <w:rPr>
                <w:rFonts w:hint="eastAsia"/>
              </w:rPr>
              <w:t>药物临床研究中体现了科学、严谨、人性化的管理</w:t>
            </w:r>
          </w:p>
        </w:tc>
        <w:tc>
          <w:tcPr>
            <w:tcW w:w="2340" w:type="dxa"/>
            <w:vAlign w:val="center"/>
          </w:tcPr>
          <w:p>
            <w:pPr>
              <w:spacing w:line="288" w:lineRule="auto"/>
            </w:pPr>
            <w:r>
              <w:rPr>
                <w:rFonts w:hint="eastAsia"/>
              </w:rPr>
              <w:t>培养、教育学生奠定良好的专业基础，在专业工作中依法、依规，同时关注人的权益。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4</w:t>
            </w:r>
          </w:p>
        </w:tc>
        <w:tc>
          <w:tcPr>
            <w:tcW w:w="1464" w:type="dxa"/>
            <w:vAlign w:val="center"/>
          </w:tcPr>
          <w:p>
            <w:pPr>
              <w:spacing w:line="288" w:lineRule="auto"/>
            </w:pPr>
            <w:r>
              <w:rPr>
                <w:rFonts w:hint="eastAsia"/>
              </w:rPr>
              <w:t>妊娠期、哺乳期妇女与新生儿合理用药</w:t>
            </w:r>
          </w:p>
        </w:tc>
        <w:tc>
          <w:tcPr>
            <w:tcW w:w="1797" w:type="dxa"/>
            <w:vAlign w:val="center"/>
          </w:tcPr>
          <w:p>
            <w:pPr>
              <w:spacing w:line="288" w:lineRule="auto"/>
            </w:pPr>
            <w:r>
              <w:rPr>
                <w:rFonts w:hint="eastAsia"/>
              </w:rPr>
              <w:t>妊娠期合理用药的原则；哺乳期用药</w:t>
            </w:r>
          </w:p>
        </w:tc>
        <w:tc>
          <w:tcPr>
            <w:tcW w:w="2268" w:type="dxa"/>
            <w:vAlign w:val="center"/>
          </w:tcPr>
          <w:p>
            <w:pPr>
              <w:spacing w:line="288" w:lineRule="auto"/>
            </w:pPr>
            <w:r>
              <w:rPr>
                <w:rFonts w:hint="eastAsia"/>
              </w:rPr>
              <w:t>妊娠期妇女、胎儿、新生儿作为特殊群体，药师在药学服务中应关注其特殊的生理改变对药物治疗的影响，体现“以患者为中心”的服务宗旨。</w:t>
            </w:r>
          </w:p>
        </w:tc>
        <w:tc>
          <w:tcPr>
            <w:tcW w:w="2340" w:type="dxa"/>
            <w:vAlign w:val="center"/>
          </w:tcPr>
          <w:p>
            <w:pPr>
              <w:spacing w:line="288" w:lineRule="auto"/>
            </w:pPr>
            <w:r>
              <w:rPr>
                <w:rFonts w:hint="eastAsia"/>
              </w:rPr>
              <w:t>培养学生具备良好的职业素养，敬畏生命，关爱患者，练就高超的专业本领和医者仁心的道德情操。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5</w:t>
            </w:r>
          </w:p>
        </w:tc>
        <w:tc>
          <w:tcPr>
            <w:tcW w:w="1464" w:type="dxa"/>
            <w:vAlign w:val="center"/>
          </w:tcPr>
          <w:p>
            <w:pPr>
              <w:spacing w:line="288" w:lineRule="auto"/>
            </w:pPr>
            <w:r>
              <w:rPr>
                <w:rFonts w:hint="eastAsia"/>
              </w:rPr>
              <w:t>老年人合理用药</w:t>
            </w:r>
          </w:p>
        </w:tc>
        <w:tc>
          <w:tcPr>
            <w:tcW w:w="1797" w:type="dxa"/>
            <w:vAlign w:val="center"/>
          </w:tcPr>
          <w:p>
            <w:pPr>
              <w:spacing w:line="288" w:lineRule="auto"/>
            </w:pPr>
            <w:r>
              <w:rPr>
                <w:rFonts w:hint="eastAsia"/>
              </w:rPr>
              <w:t>老年人用药的基本原则</w:t>
            </w:r>
          </w:p>
        </w:tc>
        <w:tc>
          <w:tcPr>
            <w:tcW w:w="2268" w:type="dxa"/>
            <w:vAlign w:val="center"/>
          </w:tcPr>
          <w:p>
            <w:pPr>
              <w:spacing w:line="288" w:lineRule="auto"/>
            </w:pPr>
            <w:r>
              <w:rPr>
                <w:rFonts w:hint="eastAsia"/>
              </w:rPr>
              <w:t>药师在药学服务中应关注老年人特殊的生理改变对药物治疗的影响，体现“以患者为中心”的服务宗旨。</w:t>
            </w:r>
          </w:p>
        </w:tc>
        <w:tc>
          <w:tcPr>
            <w:tcW w:w="2340" w:type="dxa"/>
            <w:vAlign w:val="center"/>
          </w:tcPr>
          <w:p>
            <w:pPr>
              <w:spacing w:line="288" w:lineRule="auto"/>
            </w:pPr>
            <w:r>
              <w:rPr>
                <w:rFonts w:hint="eastAsia"/>
              </w:rPr>
              <w:t>培养学生具备良好的职业素养，敬畏生命，关爱患者，练就高超的专业本领和医者仁心的道德情操。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6</w:t>
            </w:r>
          </w:p>
        </w:tc>
        <w:tc>
          <w:tcPr>
            <w:tcW w:w="1464" w:type="dxa"/>
            <w:vAlign w:val="center"/>
          </w:tcPr>
          <w:p>
            <w:pPr>
              <w:spacing w:line="288" w:lineRule="auto"/>
            </w:pPr>
            <w:r>
              <w:rPr>
                <w:rFonts w:hint="eastAsia"/>
              </w:rPr>
              <w:t>时间药理学</w:t>
            </w:r>
          </w:p>
        </w:tc>
        <w:tc>
          <w:tcPr>
            <w:tcW w:w="1797" w:type="dxa"/>
            <w:vAlign w:val="center"/>
          </w:tcPr>
          <w:p>
            <w:pPr>
              <w:spacing w:line="288" w:lineRule="auto"/>
            </w:pPr>
            <w:r>
              <w:rPr>
                <w:rFonts w:hint="eastAsia"/>
              </w:rPr>
              <w:t>时间药理学的临床应用</w:t>
            </w:r>
          </w:p>
        </w:tc>
        <w:tc>
          <w:tcPr>
            <w:tcW w:w="2268" w:type="dxa"/>
            <w:vAlign w:val="center"/>
          </w:tcPr>
          <w:p>
            <w:pPr>
              <w:spacing w:line="288" w:lineRule="auto"/>
            </w:pPr>
            <w:r>
              <w:rPr>
                <w:rFonts w:hint="eastAsia"/>
              </w:rPr>
              <w:t>生物节律对药物体内过程和作用的影响关乎药物治疗的结果，作为药师有责任为提高药物治疗效果提供专业意见或建议。</w:t>
            </w:r>
          </w:p>
        </w:tc>
        <w:tc>
          <w:tcPr>
            <w:tcW w:w="2340" w:type="dxa"/>
            <w:vAlign w:val="center"/>
          </w:tcPr>
          <w:p>
            <w:pPr>
              <w:spacing w:line="288" w:lineRule="auto"/>
            </w:pPr>
            <w:r>
              <w:rPr>
                <w:rFonts w:hint="eastAsia"/>
              </w:rPr>
              <w:t>培养学生具备良好的职业素养，敬畏生命，关爱患者，练就高超的专业本领和医者仁心的道德情操。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7</w:t>
            </w:r>
          </w:p>
        </w:tc>
        <w:tc>
          <w:tcPr>
            <w:tcW w:w="1464" w:type="dxa"/>
            <w:vAlign w:val="center"/>
          </w:tcPr>
          <w:p>
            <w:pPr>
              <w:spacing w:line="288" w:lineRule="auto"/>
            </w:pPr>
            <w:r>
              <w:rPr>
                <w:rFonts w:hint="eastAsia"/>
              </w:rPr>
              <w:t>抗菌药物的合理应用</w:t>
            </w:r>
          </w:p>
        </w:tc>
        <w:tc>
          <w:tcPr>
            <w:tcW w:w="1797" w:type="dxa"/>
            <w:vAlign w:val="center"/>
          </w:tcPr>
          <w:p>
            <w:pPr>
              <w:spacing w:line="288" w:lineRule="auto"/>
            </w:pPr>
            <w:r>
              <w:rPr>
                <w:rFonts w:hint="eastAsia"/>
              </w:rPr>
              <w:t>抗菌药物合理应用的基本原则</w:t>
            </w:r>
          </w:p>
        </w:tc>
        <w:tc>
          <w:tcPr>
            <w:tcW w:w="2268" w:type="dxa"/>
            <w:vAlign w:val="center"/>
          </w:tcPr>
          <w:p>
            <w:pPr>
              <w:spacing w:line="288" w:lineRule="auto"/>
            </w:pPr>
            <w:r>
              <w:rPr>
                <w:rFonts w:hint="eastAsia"/>
              </w:rPr>
              <w:t>合理地使用抗菌药物，利用好药物资源，为临床提供高质量的药学服务。</w:t>
            </w:r>
          </w:p>
        </w:tc>
        <w:tc>
          <w:tcPr>
            <w:tcW w:w="2340" w:type="dxa"/>
            <w:vAlign w:val="center"/>
          </w:tcPr>
          <w:p>
            <w:pPr>
              <w:spacing w:line="288" w:lineRule="auto"/>
            </w:pPr>
            <w:r>
              <w:rPr>
                <w:rFonts w:hint="eastAsia"/>
              </w:rPr>
              <w:t>培养学生具备良好的职业素养，敬畏生命，关爱患者，练就高超的专业本领和医者仁心的道德情操。</w:t>
            </w:r>
          </w:p>
        </w:tc>
      </w:tr>
    </w:tbl>
    <w:p>
      <w:r>
        <w:br w:type="page"/>
      </w:r>
    </w:p>
    <w:tbl>
      <w:tblPr>
        <w:tblStyle w:val="11"/>
        <w:tblpPr w:leftFromText="180" w:rightFromText="180" w:vertAnchor="text" w:tblpXSpec="center" w:tblpY="1"/>
        <w:tblOverlap w:val="never"/>
        <w:tblW w:w="86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8"/>
        <w:gridCol w:w="1464"/>
        <w:gridCol w:w="1774"/>
        <w:gridCol w:w="2321"/>
        <w:gridCol w:w="2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tcPr>
          <w:p>
            <w:pPr>
              <w:spacing w:line="288" w:lineRule="auto"/>
              <w:rPr>
                <w:b/>
              </w:rPr>
            </w:pPr>
            <w:r>
              <w:rPr>
                <w:rFonts w:hint="eastAsia"/>
                <w:b/>
              </w:rPr>
              <w:t>序号</w:t>
            </w:r>
          </w:p>
        </w:tc>
        <w:tc>
          <w:tcPr>
            <w:tcW w:w="1464" w:type="dxa"/>
          </w:tcPr>
          <w:p>
            <w:pPr>
              <w:spacing w:line="288" w:lineRule="auto"/>
              <w:jc w:val="center"/>
              <w:rPr>
                <w:b/>
              </w:rPr>
            </w:pPr>
            <w:r>
              <w:rPr>
                <w:rFonts w:hint="eastAsia"/>
                <w:b/>
              </w:rPr>
              <w:t>融入章节</w:t>
            </w:r>
          </w:p>
        </w:tc>
        <w:tc>
          <w:tcPr>
            <w:tcW w:w="1774" w:type="dxa"/>
          </w:tcPr>
          <w:p>
            <w:pPr>
              <w:spacing w:line="288" w:lineRule="auto"/>
              <w:jc w:val="center"/>
              <w:rPr>
                <w:b/>
              </w:rPr>
            </w:pPr>
            <w:r>
              <w:rPr>
                <w:rFonts w:hint="eastAsia"/>
                <w:b/>
              </w:rPr>
              <w:t>融入专业知识点</w:t>
            </w:r>
          </w:p>
        </w:tc>
        <w:tc>
          <w:tcPr>
            <w:tcW w:w="2321" w:type="dxa"/>
          </w:tcPr>
          <w:p>
            <w:pPr>
              <w:spacing w:line="288" w:lineRule="auto"/>
              <w:jc w:val="center"/>
              <w:rPr>
                <w:b/>
              </w:rPr>
            </w:pPr>
            <w:r>
              <w:rPr>
                <w:rFonts w:hint="eastAsia"/>
                <w:b/>
              </w:rPr>
              <w:t>思政元素点</w:t>
            </w:r>
          </w:p>
        </w:tc>
        <w:tc>
          <w:tcPr>
            <w:tcW w:w="2323"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b/>
              </w:rPr>
              <w:t>8</w:t>
            </w:r>
          </w:p>
        </w:tc>
        <w:tc>
          <w:tcPr>
            <w:tcW w:w="1464" w:type="dxa"/>
            <w:vAlign w:val="center"/>
          </w:tcPr>
          <w:p>
            <w:pPr>
              <w:spacing w:line="288" w:lineRule="auto"/>
            </w:pPr>
            <w:r>
              <w:rPr>
                <w:rFonts w:hint="eastAsia"/>
              </w:rPr>
              <w:t>药物不良反应和药源性疾病</w:t>
            </w:r>
          </w:p>
        </w:tc>
        <w:tc>
          <w:tcPr>
            <w:tcW w:w="1774" w:type="dxa"/>
            <w:vAlign w:val="center"/>
          </w:tcPr>
          <w:p>
            <w:pPr>
              <w:spacing w:line="288" w:lineRule="auto"/>
            </w:pPr>
            <w:r>
              <w:rPr>
                <w:rFonts w:hint="eastAsia"/>
              </w:rPr>
              <w:t>药物不良反应和药源性疾病</w:t>
            </w:r>
          </w:p>
        </w:tc>
        <w:tc>
          <w:tcPr>
            <w:tcW w:w="2321" w:type="dxa"/>
            <w:vAlign w:val="center"/>
          </w:tcPr>
          <w:p>
            <w:pPr>
              <w:spacing w:line="288" w:lineRule="auto"/>
            </w:pPr>
            <w:r>
              <w:rPr>
                <w:rFonts w:hint="eastAsia"/>
              </w:rPr>
              <w:t>看清事物的两面性</w:t>
            </w:r>
          </w:p>
        </w:tc>
        <w:tc>
          <w:tcPr>
            <w:tcW w:w="2323" w:type="dxa"/>
            <w:vAlign w:val="center"/>
          </w:tcPr>
          <w:p>
            <w:pPr>
              <w:spacing w:line="288" w:lineRule="auto"/>
            </w:pPr>
            <w:r>
              <w:rPr>
                <w:rFonts w:hint="eastAsia"/>
                <w:color w:val="0D0D0D"/>
                <w:szCs w:val="21"/>
              </w:rPr>
              <w:t>让学生意识到，凡事都有两个方面，凡事都是相对而言，要用辩证的眼光去看待问题。当成长过程中遇到不利因素，应敢于向命运挑战，敢于向不利因素挑战，变不利为有利。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b/>
              </w:rPr>
              <w:t>9</w:t>
            </w:r>
          </w:p>
        </w:tc>
        <w:tc>
          <w:tcPr>
            <w:tcW w:w="1464" w:type="dxa"/>
            <w:vAlign w:val="center"/>
          </w:tcPr>
          <w:p>
            <w:pPr>
              <w:rPr>
                <w:rFonts w:hAnsi="宋体" w:cs="宋体"/>
              </w:rPr>
            </w:pPr>
            <w:r>
              <w:rPr>
                <w:rFonts w:hint="eastAsia" w:hAnsi="宋体"/>
                <w:szCs w:val="21"/>
              </w:rPr>
              <w:t>药物相互作用</w:t>
            </w:r>
          </w:p>
        </w:tc>
        <w:tc>
          <w:tcPr>
            <w:tcW w:w="1774" w:type="dxa"/>
            <w:vAlign w:val="center"/>
          </w:tcPr>
          <w:p>
            <w:pPr>
              <w:spacing w:line="288" w:lineRule="auto"/>
            </w:pPr>
            <w:r>
              <w:rPr>
                <w:rFonts w:hint="eastAsia"/>
              </w:rPr>
              <w:t>药物相互作用的定义和联合用药的意义；药物相互作用与分类；严重的不良药物相互作用。</w:t>
            </w:r>
          </w:p>
        </w:tc>
        <w:tc>
          <w:tcPr>
            <w:tcW w:w="2321" w:type="dxa"/>
            <w:vAlign w:val="center"/>
          </w:tcPr>
          <w:p>
            <w:pPr>
              <w:spacing w:line="288" w:lineRule="auto"/>
            </w:pPr>
            <w:r>
              <w:rPr>
                <w:rFonts w:hint="eastAsia" w:ascii="Arial" w:hAnsi="Arial" w:cs="Arial"/>
                <w:color w:val="333333"/>
                <w:szCs w:val="21"/>
                <w:shd w:val="clear" w:color="auto" w:fill="FFFFFF"/>
              </w:rPr>
              <w:t>任何事物以及事物之间都包含着矛盾性，事物矛盾双方又统一又斗争推动事物的运动、变化和发展。</w:t>
            </w:r>
          </w:p>
        </w:tc>
        <w:tc>
          <w:tcPr>
            <w:tcW w:w="2323" w:type="dxa"/>
            <w:vAlign w:val="center"/>
          </w:tcPr>
          <w:p>
            <w:pPr>
              <w:spacing w:line="288" w:lineRule="auto"/>
            </w:pPr>
            <w:r>
              <w:rPr>
                <w:rFonts w:hint="eastAsia"/>
              </w:rPr>
              <w:t>我们在临床药学监护中，既要避免不利的相互作用，但有时还利用的药理性拮抗的相互作用。</w:t>
            </w:r>
            <w:r>
              <w:rPr>
                <w:rFonts w:hint="eastAsia" w:ascii="Calibri" w:hAnsi="宋体"/>
                <w:color w:val="0D0D0D"/>
                <w:szCs w:val="21"/>
              </w:rPr>
              <w:t>具备完整全面的专业知识，才能在临床用药指导时发挥作用，解决各种各样的实际问题</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b/>
              </w:rPr>
              <w:t>10</w:t>
            </w:r>
          </w:p>
        </w:tc>
        <w:tc>
          <w:tcPr>
            <w:tcW w:w="1464" w:type="dxa"/>
            <w:vAlign w:val="center"/>
          </w:tcPr>
          <w:p>
            <w:pPr>
              <w:rPr>
                <w:rFonts w:hAnsi="宋体" w:cs="宋体"/>
              </w:rPr>
            </w:pPr>
            <w:r>
              <w:rPr>
                <w:rFonts w:hint="eastAsia" w:hAnsi="宋体"/>
                <w:szCs w:val="21"/>
              </w:rPr>
              <w:t>遗传药理学</w:t>
            </w:r>
          </w:p>
        </w:tc>
        <w:tc>
          <w:tcPr>
            <w:tcW w:w="1774" w:type="dxa"/>
            <w:vAlign w:val="center"/>
          </w:tcPr>
          <w:p>
            <w:pPr>
              <w:spacing w:line="288" w:lineRule="auto"/>
            </w:pPr>
            <w:r>
              <w:rPr>
                <w:rFonts w:hint="eastAsia"/>
              </w:rPr>
              <w:t>遗传药理学发展概况及其研究内容；药物代谢氧化酶、转移酶遗传多态性及临床意义；遗传药理学在个体化用药及新药开发中的临床意义。</w:t>
            </w:r>
          </w:p>
        </w:tc>
        <w:tc>
          <w:tcPr>
            <w:tcW w:w="2321" w:type="dxa"/>
            <w:vAlign w:val="center"/>
          </w:tcPr>
          <w:p>
            <w:pPr>
              <w:spacing w:line="288" w:lineRule="auto"/>
            </w:pPr>
            <w:r>
              <w:rPr>
                <w:rFonts w:hint="eastAsia"/>
              </w:rPr>
              <w:t>量变到质变；从学科大师的发展史来挖掘来挖掘价值观，育德于教，榜样的力量是无穷的及示范性效应。</w:t>
            </w:r>
          </w:p>
        </w:tc>
        <w:tc>
          <w:tcPr>
            <w:tcW w:w="2323" w:type="dxa"/>
            <w:vAlign w:val="center"/>
          </w:tcPr>
          <w:p>
            <w:pPr>
              <w:spacing w:line="288" w:lineRule="auto"/>
            </w:pPr>
            <w:r>
              <w:rPr>
                <w:rFonts w:hint="eastAsia"/>
              </w:rPr>
              <w:t>通过介绍中国科学家在我国遗传药理学科学发展中的作用及国际影响，让同学们意识到任何小的问题，只要本着实事求严谨的科学态度去钻研，不停的积累沉淀，量变变质量，一定会有所收获与成就。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b/>
              </w:rPr>
              <w:t>11</w:t>
            </w:r>
          </w:p>
        </w:tc>
        <w:tc>
          <w:tcPr>
            <w:tcW w:w="1464" w:type="dxa"/>
            <w:vAlign w:val="center"/>
          </w:tcPr>
          <w:p>
            <w:pPr>
              <w:spacing w:line="288" w:lineRule="auto"/>
            </w:pPr>
            <w:r>
              <w:rPr>
                <w:rFonts w:hint="eastAsia"/>
              </w:rPr>
              <w:t>临床药动学</w:t>
            </w:r>
          </w:p>
        </w:tc>
        <w:tc>
          <w:tcPr>
            <w:tcW w:w="1774" w:type="dxa"/>
            <w:vAlign w:val="center"/>
          </w:tcPr>
          <w:p>
            <w:pPr>
              <w:spacing w:line="288" w:lineRule="auto"/>
            </w:pPr>
            <w:r>
              <w:rPr>
                <w:rFonts w:hint="eastAsia"/>
              </w:rPr>
              <w:t>药物人体内</w:t>
            </w:r>
            <w:r>
              <w:t>动力学</w:t>
            </w:r>
            <w:r>
              <w:rPr>
                <w:rFonts w:hint="eastAsia"/>
              </w:rPr>
              <w:t>规律</w:t>
            </w:r>
            <w:r>
              <w:t>和给药方案设计</w:t>
            </w:r>
          </w:p>
        </w:tc>
        <w:tc>
          <w:tcPr>
            <w:tcW w:w="2321" w:type="dxa"/>
            <w:vAlign w:val="center"/>
          </w:tcPr>
          <w:p>
            <w:pPr>
              <w:spacing w:line="288" w:lineRule="auto"/>
            </w:pPr>
            <w:r>
              <w:rPr>
                <w:rFonts w:hint="eastAsia"/>
              </w:rPr>
              <w:t>应用</w:t>
            </w:r>
            <w:r>
              <w:t>专业知识</w:t>
            </w:r>
            <w:r>
              <w:rPr>
                <w:rFonts w:hint="eastAsia"/>
              </w:rPr>
              <w:t>和</w:t>
            </w:r>
            <w:r>
              <w:t>能力，</w:t>
            </w:r>
            <w:r>
              <w:rPr>
                <w:rFonts w:hint="eastAsia"/>
              </w:rPr>
              <w:t>理解</w:t>
            </w:r>
            <w:r>
              <w:t>和尊重</w:t>
            </w:r>
            <w:r>
              <w:rPr>
                <w:rFonts w:hint="eastAsia"/>
              </w:rPr>
              <w:t>患者药物治疗</w:t>
            </w:r>
            <w:r>
              <w:t>方案个体差异</w:t>
            </w:r>
            <w:r>
              <w:rPr>
                <w:rFonts w:hint="eastAsia"/>
              </w:rPr>
              <w:t>性</w:t>
            </w:r>
          </w:p>
        </w:tc>
        <w:tc>
          <w:tcPr>
            <w:tcW w:w="2323" w:type="dxa"/>
            <w:vAlign w:val="center"/>
          </w:tcPr>
          <w:p>
            <w:pPr>
              <w:spacing w:line="288" w:lineRule="auto"/>
            </w:pPr>
            <w:r>
              <w:rPr>
                <w:rFonts w:hint="eastAsia"/>
              </w:rPr>
              <w:t>树立</w:t>
            </w:r>
            <w:r>
              <w:t>“</w:t>
            </w:r>
            <w:r>
              <w:rPr>
                <w:rFonts w:hint="eastAsia"/>
              </w:rPr>
              <w:t>一切</w:t>
            </w:r>
            <w:r>
              <w:t>以患者为中心”</w:t>
            </w:r>
            <w:r>
              <w:rPr>
                <w:rFonts w:hint="eastAsia"/>
              </w:rPr>
              <w:t>个体化</w:t>
            </w:r>
            <w:r>
              <w:t>用药</w:t>
            </w:r>
            <w:r>
              <w:rPr>
                <w:rFonts w:hint="eastAsia"/>
              </w:rPr>
              <w:t>意识</w:t>
            </w:r>
            <w:r>
              <w:t>与原则</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b/>
              </w:rPr>
              <w:t>12</w:t>
            </w:r>
          </w:p>
        </w:tc>
        <w:tc>
          <w:tcPr>
            <w:tcW w:w="1464" w:type="dxa"/>
            <w:vAlign w:val="center"/>
          </w:tcPr>
          <w:p>
            <w:pPr>
              <w:spacing w:line="288" w:lineRule="auto"/>
            </w:pPr>
            <w:r>
              <w:rPr>
                <w:rFonts w:hint="eastAsia"/>
              </w:rPr>
              <w:t>治疗药物监测及其应用</w:t>
            </w:r>
          </w:p>
        </w:tc>
        <w:tc>
          <w:tcPr>
            <w:tcW w:w="1774" w:type="dxa"/>
            <w:vAlign w:val="center"/>
          </w:tcPr>
          <w:p>
            <w:pPr>
              <w:spacing w:line="288" w:lineRule="auto"/>
            </w:pPr>
            <w:r>
              <w:rPr>
                <w:rFonts w:hint="eastAsia"/>
              </w:rPr>
              <w:t>用药</w:t>
            </w:r>
            <w:r>
              <w:t>安全性与有效性判断</w:t>
            </w:r>
          </w:p>
        </w:tc>
        <w:tc>
          <w:tcPr>
            <w:tcW w:w="2321" w:type="dxa"/>
            <w:vAlign w:val="center"/>
          </w:tcPr>
          <w:p>
            <w:pPr>
              <w:spacing w:line="288" w:lineRule="auto"/>
            </w:pPr>
            <w:r>
              <w:rPr>
                <w:rFonts w:hint="eastAsia"/>
              </w:rPr>
              <w:t>安全</w:t>
            </w:r>
            <w:r>
              <w:t>、有效用药是</w:t>
            </w:r>
            <w:r>
              <w:rPr>
                <w:rFonts w:hint="eastAsia"/>
              </w:rPr>
              <w:t>医药工作者</w:t>
            </w:r>
            <w:r>
              <w:t>服务患者的重要底线</w:t>
            </w:r>
          </w:p>
        </w:tc>
        <w:tc>
          <w:tcPr>
            <w:tcW w:w="2323" w:type="dxa"/>
            <w:vAlign w:val="center"/>
          </w:tcPr>
          <w:p>
            <w:pPr>
              <w:spacing w:line="288" w:lineRule="auto"/>
            </w:pPr>
            <w:r>
              <w:rPr>
                <w:rFonts w:hint="eastAsia"/>
              </w:rPr>
              <w:t>培养学生具备良好的职业素养，敬畏生命，关爱患者，练就高超的专业技能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spacing w:line="288" w:lineRule="auto"/>
              <w:jc w:val="center"/>
              <w:rPr>
                <w:b/>
              </w:rPr>
            </w:pPr>
            <w:r>
              <w:rPr>
                <w:rFonts w:hint="eastAsia"/>
                <w:b/>
              </w:rPr>
              <w:t>1</w:t>
            </w:r>
            <w:r>
              <w:rPr>
                <w:b/>
              </w:rPr>
              <w:t>3</w:t>
            </w:r>
          </w:p>
        </w:tc>
        <w:tc>
          <w:tcPr>
            <w:tcW w:w="1464" w:type="dxa"/>
            <w:vAlign w:val="center"/>
          </w:tcPr>
          <w:p>
            <w:pPr>
              <w:spacing w:line="288" w:lineRule="auto"/>
            </w:pPr>
            <w:r>
              <w:rPr>
                <w:rFonts w:hint="eastAsia"/>
              </w:rPr>
              <w:t>高血压治疗药物</w:t>
            </w:r>
          </w:p>
        </w:tc>
        <w:tc>
          <w:tcPr>
            <w:tcW w:w="1774" w:type="dxa"/>
            <w:vAlign w:val="center"/>
          </w:tcPr>
          <w:p>
            <w:pPr>
              <w:spacing w:line="288" w:lineRule="auto"/>
            </w:pPr>
            <w:r>
              <w:rPr>
                <w:rFonts w:hint="eastAsia"/>
              </w:rPr>
              <w:t>高血压的危险因素</w:t>
            </w:r>
            <w:r>
              <w:t>与合理用药</w:t>
            </w:r>
          </w:p>
        </w:tc>
        <w:tc>
          <w:tcPr>
            <w:tcW w:w="2321" w:type="dxa"/>
            <w:vAlign w:val="center"/>
          </w:tcPr>
          <w:p>
            <w:pPr>
              <w:spacing w:line="288" w:lineRule="auto"/>
            </w:pPr>
            <w:r>
              <w:rPr>
                <w:rFonts w:hint="eastAsia"/>
              </w:rPr>
              <w:t>高血压</w:t>
            </w:r>
            <w:r>
              <w:t>的预防与治疗</w:t>
            </w:r>
            <w:r>
              <w:rPr>
                <w:rFonts w:hint="eastAsia"/>
              </w:rPr>
              <w:t>理念</w:t>
            </w:r>
            <w:r>
              <w:t>体现对生命质量和健康的正确认识</w:t>
            </w:r>
          </w:p>
        </w:tc>
        <w:tc>
          <w:tcPr>
            <w:tcW w:w="2323" w:type="dxa"/>
            <w:vAlign w:val="center"/>
          </w:tcPr>
          <w:p>
            <w:pPr>
              <w:spacing w:line="288" w:lineRule="auto"/>
            </w:pPr>
            <w:r>
              <w:t>实现</w:t>
            </w:r>
            <w:r>
              <w:rPr>
                <w:rFonts w:hint="eastAsia"/>
              </w:rPr>
              <w:t>患者</w:t>
            </w:r>
            <w:r>
              <w:t>生命收益最大化是一切医疗的最终目标</w:t>
            </w:r>
          </w:p>
        </w:tc>
      </w:tr>
    </w:tbl>
    <w:p/>
    <w:tbl>
      <w:tblPr>
        <w:tblStyle w:val="11"/>
        <w:tblpPr w:leftFromText="180" w:rightFromText="180" w:vertAnchor="text" w:tblpXSpec="center" w:tblpY="1"/>
        <w:tblOverlap w:val="never"/>
        <w:tblW w:w="86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4"/>
        <w:gridCol w:w="1453"/>
        <w:gridCol w:w="1762"/>
        <w:gridCol w:w="2333"/>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tcPr>
          <w:p>
            <w:pPr>
              <w:spacing w:line="288" w:lineRule="auto"/>
              <w:rPr>
                <w:b/>
              </w:rPr>
            </w:pPr>
            <w:r>
              <w:rPr>
                <w:rFonts w:hint="eastAsia"/>
                <w:b/>
              </w:rPr>
              <w:t>序号</w:t>
            </w:r>
          </w:p>
        </w:tc>
        <w:tc>
          <w:tcPr>
            <w:tcW w:w="1453" w:type="dxa"/>
          </w:tcPr>
          <w:p>
            <w:pPr>
              <w:spacing w:line="288" w:lineRule="auto"/>
              <w:jc w:val="center"/>
              <w:rPr>
                <w:b/>
              </w:rPr>
            </w:pPr>
            <w:r>
              <w:rPr>
                <w:rFonts w:hint="eastAsia"/>
                <w:b/>
              </w:rPr>
              <w:t>融入章节</w:t>
            </w:r>
          </w:p>
        </w:tc>
        <w:tc>
          <w:tcPr>
            <w:tcW w:w="1762" w:type="dxa"/>
          </w:tcPr>
          <w:p>
            <w:pPr>
              <w:spacing w:line="288" w:lineRule="auto"/>
              <w:jc w:val="center"/>
              <w:rPr>
                <w:b/>
              </w:rPr>
            </w:pPr>
            <w:r>
              <w:rPr>
                <w:rFonts w:hint="eastAsia"/>
                <w:b/>
              </w:rPr>
              <w:t>融入专业知识点</w:t>
            </w:r>
          </w:p>
        </w:tc>
        <w:tc>
          <w:tcPr>
            <w:tcW w:w="2333" w:type="dxa"/>
          </w:tcPr>
          <w:p>
            <w:pPr>
              <w:spacing w:line="288" w:lineRule="auto"/>
              <w:jc w:val="center"/>
              <w:rPr>
                <w:b/>
              </w:rPr>
            </w:pPr>
            <w:r>
              <w:rPr>
                <w:rFonts w:hint="eastAsia"/>
                <w:b/>
              </w:rPr>
              <w:t>思政元素点</w:t>
            </w:r>
          </w:p>
        </w:tc>
        <w:tc>
          <w:tcPr>
            <w:tcW w:w="2341"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vAlign w:val="center"/>
          </w:tcPr>
          <w:p>
            <w:pPr>
              <w:spacing w:line="288" w:lineRule="auto"/>
              <w:jc w:val="center"/>
              <w:rPr>
                <w:b/>
              </w:rPr>
            </w:pPr>
            <w:r>
              <w:rPr>
                <w:rFonts w:hint="eastAsia"/>
                <w:b/>
              </w:rPr>
              <w:t>1</w:t>
            </w:r>
            <w:r>
              <w:rPr>
                <w:b/>
              </w:rPr>
              <w:t>4</w:t>
            </w:r>
          </w:p>
        </w:tc>
        <w:tc>
          <w:tcPr>
            <w:tcW w:w="1453" w:type="dxa"/>
            <w:vAlign w:val="center"/>
          </w:tcPr>
          <w:p>
            <w:pPr>
              <w:spacing w:line="288" w:lineRule="auto"/>
            </w:pPr>
            <w:r>
              <w:rPr>
                <w:rFonts w:hint="eastAsia"/>
              </w:rPr>
              <w:t>血脂调节药物</w:t>
            </w:r>
          </w:p>
        </w:tc>
        <w:tc>
          <w:tcPr>
            <w:tcW w:w="1762" w:type="dxa"/>
            <w:vAlign w:val="center"/>
          </w:tcPr>
          <w:p>
            <w:pPr>
              <w:spacing w:line="288" w:lineRule="auto"/>
            </w:pPr>
            <w:r>
              <w:rPr>
                <w:rFonts w:hint="eastAsia"/>
              </w:rPr>
              <w:t>血脂异常</w:t>
            </w:r>
            <w:r>
              <w:t>及临床用药</w:t>
            </w:r>
          </w:p>
        </w:tc>
        <w:tc>
          <w:tcPr>
            <w:tcW w:w="2333" w:type="dxa"/>
            <w:vAlign w:val="center"/>
          </w:tcPr>
          <w:p>
            <w:pPr>
              <w:spacing w:line="288" w:lineRule="auto"/>
            </w:pPr>
            <w:r>
              <w:rPr>
                <w:rFonts w:hint="eastAsia"/>
              </w:rPr>
              <w:t>科学</w:t>
            </w:r>
            <w:r>
              <w:t>的生活方式</w:t>
            </w:r>
            <w:r>
              <w:rPr>
                <w:rFonts w:hint="eastAsia"/>
              </w:rPr>
              <w:t>对血脂异常</w:t>
            </w:r>
            <w:r>
              <w:t>、糖尿病、冠心病等疾病的预防和治疗的重要性</w:t>
            </w:r>
          </w:p>
        </w:tc>
        <w:tc>
          <w:tcPr>
            <w:tcW w:w="2341" w:type="dxa"/>
            <w:vAlign w:val="center"/>
          </w:tcPr>
          <w:p>
            <w:pPr>
              <w:spacing w:line="288" w:lineRule="auto"/>
            </w:pPr>
            <w:r>
              <w:rPr>
                <w:rFonts w:hint="eastAsia"/>
              </w:rPr>
              <w:t>树立药学服务</w:t>
            </w:r>
            <w:r>
              <w:t>不仅是</w:t>
            </w:r>
            <w:r>
              <w:rPr>
                <w:rFonts w:hint="eastAsia"/>
              </w:rPr>
              <w:t>合理</w:t>
            </w:r>
            <w:r>
              <w:t>用药，更是对患者生命全方位</w:t>
            </w:r>
            <w:r>
              <w:rPr>
                <w:rFonts w:hint="eastAsia"/>
              </w:rPr>
              <w:t>关怀</w:t>
            </w:r>
            <w:r>
              <w:t>照护</w:t>
            </w:r>
            <w:r>
              <w:rPr>
                <w:rFonts w:hint="eastAsia"/>
              </w:rPr>
              <w:t>的理念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vAlign w:val="center"/>
          </w:tcPr>
          <w:p>
            <w:pPr>
              <w:spacing w:line="288" w:lineRule="auto"/>
              <w:jc w:val="center"/>
              <w:rPr>
                <w:b/>
              </w:rPr>
            </w:pPr>
            <w:r>
              <w:rPr>
                <w:rFonts w:hint="eastAsia"/>
                <w:b/>
              </w:rPr>
              <w:t>1</w:t>
            </w:r>
            <w:r>
              <w:rPr>
                <w:b/>
              </w:rPr>
              <w:t>5</w:t>
            </w:r>
          </w:p>
        </w:tc>
        <w:tc>
          <w:tcPr>
            <w:tcW w:w="1453" w:type="dxa"/>
            <w:vAlign w:val="center"/>
          </w:tcPr>
          <w:p>
            <w:pPr>
              <w:spacing w:line="288" w:lineRule="auto"/>
            </w:pPr>
            <w:r>
              <w:rPr>
                <w:rFonts w:hint="eastAsia"/>
              </w:rPr>
              <w:t>心绞痛治疗药物</w:t>
            </w:r>
          </w:p>
        </w:tc>
        <w:tc>
          <w:tcPr>
            <w:tcW w:w="1762" w:type="dxa"/>
            <w:vAlign w:val="center"/>
          </w:tcPr>
          <w:p>
            <w:pPr>
              <w:spacing w:line="288" w:lineRule="auto"/>
            </w:pPr>
            <w:r>
              <w:rPr>
                <w:rFonts w:hint="eastAsia"/>
              </w:rPr>
              <w:t>心绞痛治疗</w:t>
            </w:r>
            <w:r>
              <w:t>药物的用药注意事项</w:t>
            </w:r>
          </w:p>
        </w:tc>
        <w:tc>
          <w:tcPr>
            <w:tcW w:w="2333" w:type="dxa"/>
            <w:vAlign w:val="center"/>
          </w:tcPr>
          <w:p>
            <w:pPr>
              <w:spacing w:line="288" w:lineRule="auto"/>
            </w:pPr>
            <w:r>
              <w:rPr>
                <w:rFonts w:hint="eastAsia"/>
              </w:rPr>
              <w:t>关注心绞痛</w:t>
            </w:r>
            <w:r>
              <w:t>，预防冠心病，维护患者健康</w:t>
            </w:r>
          </w:p>
        </w:tc>
        <w:tc>
          <w:tcPr>
            <w:tcW w:w="2341" w:type="dxa"/>
            <w:vAlign w:val="center"/>
          </w:tcPr>
          <w:p>
            <w:pPr>
              <w:spacing w:line="288" w:lineRule="auto"/>
            </w:pPr>
            <w:r>
              <w:rPr>
                <w:rFonts w:hint="eastAsia"/>
              </w:rPr>
              <w:t>树立药学服务</w:t>
            </w:r>
            <w:r>
              <w:t>不仅是</w:t>
            </w:r>
            <w:r>
              <w:rPr>
                <w:rFonts w:hint="eastAsia"/>
              </w:rPr>
              <w:t>合理</w:t>
            </w:r>
            <w:r>
              <w:t>用药，更是对患者生命全方位</w:t>
            </w:r>
            <w:r>
              <w:rPr>
                <w:rFonts w:hint="eastAsia"/>
              </w:rPr>
              <w:t>关怀</w:t>
            </w:r>
            <w:r>
              <w:t>照护</w:t>
            </w:r>
            <w:r>
              <w:rPr>
                <w:rFonts w:hint="eastAsia"/>
              </w:rPr>
              <w:t>的理念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dxa"/>
            <w:vAlign w:val="center"/>
          </w:tcPr>
          <w:p>
            <w:pPr>
              <w:spacing w:line="288" w:lineRule="auto"/>
              <w:jc w:val="center"/>
              <w:rPr>
                <w:b/>
              </w:rPr>
            </w:pPr>
            <w:r>
              <w:rPr>
                <w:b/>
              </w:rPr>
              <w:t>16</w:t>
            </w:r>
          </w:p>
        </w:tc>
        <w:tc>
          <w:tcPr>
            <w:tcW w:w="1453" w:type="dxa"/>
            <w:vAlign w:val="center"/>
          </w:tcPr>
          <w:p>
            <w:pPr>
              <w:spacing w:line="288" w:lineRule="auto"/>
            </w:pPr>
            <w:r>
              <w:rPr>
                <w:rFonts w:hint="eastAsia"/>
              </w:rPr>
              <w:t>糖尿病治疗药物</w:t>
            </w:r>
          </w:p>
        </w:tc>
        <w:tc>
          <w:tcPr>
            <w:tcW w:w="1762" w:type="dxa"/>
            <w:vAlign w:val="center"/>
          </w:tcPr>
          <w:p>
            <w:pPr>
              <w:spacing w:line="288" w:lineRule="auto"/>
            </w:pPr>
            <w:r>
              <w:rPr>
                <w:rFonts w:hint="eastAsia"/>
              </w:rPr>
              <w:t>糖尿病的</w:t>
            </w:r>
            <w:r>
              <w:t>危险因素及临床用药</w:t>
            </w:r>
          </w:p>
        </w:tc>
        <w:tc>
          <w:tcPr>
            <w:tcW w:w="2333" w:type="dxa"/>
            <w:vAlign w:val="center"/>
          </w:tcPr>
          <w:p>
            <w:pPr>
              <w:spacing w:line="288" w:lineRule="auto"/>
            </w:pPr>
            <w:r>
              <w:rPr>
                <w:rFonts w:hint="eastAsia"/>
              </w:rPr>
              <w:t>科学</w:t>
            </w:r>
            <w:r>
              <w:t>的生活方式</w:t>
            </w:r>
            <w:r>
              <w:rPr>
                <w:rFonts w:hint="eastAsia"/>
              </w:rPr>
              <w:t>对血脂异常</w:t>
            </w:r>
            <w:r>
              <w:t>、糖尿病、冠心病等疾病的预防和治疗的重要性</w:t>
            </w:r>
          </w:p>
        </w:tc>
        <w:tc>
          <w:tcPr>
            <w:tcW w:w="2341" w:type="dxa"/>
            <w:vAlign w:val="center"/>
          </w:tcPr>
          <w:p>
            <w:pPr>
              <w:spacing w:line="288" w:lineRule="auto"/>
            </w:pPr>
            <w:r>
              <w:rPr>
                <w:rFonts w:hint="eastAsia"/>
              </w:rPr>
              <w:t>树立药学服务</w:t>
            </w:r>
            <w:r>
              <w:t>不仅是</w:t>
            </w:r>
            <w:r>
              <w:rPr>
                <w:rFonts w:hint="eastAsia"/>
              </w:rPr>
              <w:t>合理</w:t>
            </w:r>
            <w:r>
              <w:t>用药，更是对患者生命全方位</w:t>
            </w:r>
            <w:r>
              <w:rPr>
                <w:rFonts w:hint="eastAsia"/>
              </w:rPr>
              <w:t>关怀</w:t>
            </w:r>
            <w:r>
              <w:t>照护</w:t>
            </w:r>
            <w:r>
              <w:rPr>
                <w:rFonts w:hint="eastAsia"/>
              </w:rPr>
              <w:t>的理念</w:t>
            </w:r>
          </w:p>
        </w:tc>
      </w:tr>
    </w:tbl>
    <w:p>
      <w:pPr>
        <w:adjustRightInd w:val="0"/>
        <w:snapToGrid w:val="0"/>
        <w:spacing w:before="156" w:beforeLines="50" w:line="360" w:lineRule="auto"/>
        <w:ind w:firstLine="422" w:firstLineChars="200"/>
        <w:rPr>
          <w:b/>
        </w:rPr>
      </w:pPr>
      <w:r>
        <w:rPr>
          <w:rFonts w:hint="eastAsia"/>
          <w:b/>
        </w:rPr>
        <w:t>七、主要教学方法：</w:t>
      </w:r>
    </w:p>
    <w:p>
      <w:pPr>
        <w:adjustRightInd w:val="0"/>
        <w:snapToGrid w:val="0"/>
        <w:spacing w:line="360" w:lineRule="auto"/>
        <w:ind w:firstLine="420" w:firstLineChars="200"/>
      </w:pPr>
      <w:r>
        <w:rPr>
          <w:rFonts w:hint="eastAsia"/>
        </w:rPr>
        <w:t>本课程主要教学方法：理论讲授（5</w:t>
      </w:r>
      <w:r>
        <w:t>8</w:t>
      </w:r>
      <w:r>
        <w:rPr>
          <w:rFonts w:hint="eastAsia"/>
        </w:rPr>
        <w:t>学时）、自主学习（</w:t>
      </w:r>
      <w:r>
        <w:t>5</w:t>
      </w:r>
      <w:r>
        <w:rPr>
          <w:rFonts w:hint="eastAsia"/>
        </w:rPr>
        <w:t>学时）。</w:t>
      </w:r>
    </w:p>
    <w:p>
      <w:pPr>
        <w:adjustRightInd w:val="0"/>
        <w:snapToGrid w:val="0"/>
        <w:spacing w:line="360" w:lineRule="auto"/>
        <w:ind w:firstLine="420" w:firstLineChars="200"/>
      </w:pPr>
      <w:r>
        <w:rPr>
          <w:rFonts w:hint="eastAsia"/>
        </w:rPr>
        <w:t>本课程</w:t>
      </w:r>
      <w:r>
        <w:t>安排两次学生</w:t>
      </w:r>
      <w:r>
        <w:rPr>
          <w:rFonts w:hint="eastAsia"/>
        </w:rPr>
        <w:t>自主学习。自主学习</w:t>
      </w:r>
      <w:r>
        <w:t>主要</w:t>
      </w:r>
      <w:r>
        <w:rPr>
          <w:rFonts w:hint="eastAsia"/>
        </w:rPr>
        <w:t>采取学生</w:t>
      </w:r>
      <w:r>
        <w:t>个人提交学习</w:t>
      </w:r>
      <w:r>
        <w:rPr>
          <w:rFonts w:hint="eastAsia"/>
        </w:rPr>
        <w:t>报告和课堂分组汇报两种形式完成教学任务。教师课前布置自主学习要求和学习任务，学生课前撰写完成自主学习报告。课上以分组汇报形式进行交流和讨论，教师对知识点进行总结。自主学习成绩由学生个人学习报告成绩（50%-70%）和小组课堂汇报成绩（30%-50%）组成，成绩反映学生个体学习过程的形成性评价和学习效果的终结性评价。</w:t>
      </w:r>
    </w:p>
    <w:p>
      <w:pPr>
        <w:adjustRightInd w:val="0"/>
        <w:snapToGrid w:val="0"/>
        <w:spacing w:line="360" w:lineRule="auto"/>
        <w:ind w:firstLine="422" w:firstLineChars="200"/>
        <w:rPr>
          <w:b/>
        </w:rPr>
      </w:pPr>
      <w:r>
        <w:rPr>
          <w:rFonts w:hint="eastAsia"/>
          <w:b/>
        </w:rPr>
        <w:t>八</w:t>
      </w:r>
      <w:r>
        <w:rPr>
          <w:b/>
        </w:rPr>
        <w:t>、</w:t>
      </w:r>
      <w:r>
        <w:rPr>
          <w:rFonts w:hint="eastAsia"/>
          <w:b/>
        </w:rPr>
        <w:t>参考教材：</w:t>
      </w:r>
    </w:p>
    <w:p>
      <w:pPr>
        <w:adjustRightInd w:val="0"/>
        <w:snapToGrid w:val="0"/>
        <w:spacing w:line="360" w:lineRule="auto"/>
        <w:ind w:firstLine="420" w:firstLineChars="200"/>
      </w:pPr>
      <w:r>
        <w:rPr>
          <w:rFonts w:hint="eastAsia"/>
        </w:rPr>
        <w:t>1. Clinical Pharmacology（临床药理学）（双语教材）[</w:t>
      </w:r>
      <w:r>
        <w:t xml:space="preserve">M]. </w:t>
      </w:r>
      <w:r>
        <w:rPr>
          <w:rFonts w:hint="eastAsia"/>
        </w:rPr>
        <w:t>李俊 主编.</w:t>
      </w:r>
      <w:r>
        <w:t xml:space="preserve"> </w:t>
      </w:r>
      <w:r>
        <w:rPr>
          <w:rFonts w:hint="eastAsia"/>
        </w:rPr>
        <w:t>人民卫生出版社，2020.12</w:t>
      </w:r>
      <w:r>
        <w:t>.</w:t>
      </w:r>
    </w:p>
    <w:p>
      <w:pPr>
        <w:adjustRightInd w:val="0"/>
        <w:snapToGrid w:val="0"/>
        <w:spacing w:line="360" w:lineRule="auto"/>
        <w:ind w:firstLine="420" w:firstLineChars="200"/>
      </w:pPr>
      <w:r>
        <w:rPr>
          <w:rFonts w:hint="eastAsia"/>
        </w:rPr>
        <w:t>2. 临床药理学（第6版）[</w:t>
      </w:r>
      <w:r>
        <w:t xml:space="preserve">M]. </w:t>
      </w:r>
      <w:r>
        <w:rPr>
          <w:rFonts w:hint="eastAsia"/>
        </w:rPr>
        <w:t>李俊 主编.</w:t>
      </w:r>
      <w:r>
        <w:t xml:space="preserve"> </w:t>
      </w:r>
      <w:r>
        <w:rPr>
          <w:rFonts w:hint="eastAsia"/>
        </w:rPr>
        <w:t>人民卫生出版社，2018.8.</w:t>
      </w:r>
    </w:p>
    <w:p>
      <w:pPr>
        <w:adjustRightInd w:val="0"/>
        <w:snapToGrid w:val="0"/>
        <w:spacing w:line="360" w:lineRule="auto"/>
        <w:ind w:firstLine="422" w:firstLineChars="200"/>
        <w:rPr>
          <w:b/>
        </w:rPr>
      </w:pPr>
      <w:r>
        <w:rPr>
          <w:rFonts w:hint="eastAsia"/>
          <w:b/>
        </w:rPr>
        <w:t>九、教学学习资源或平台：</w:t>
      </w:r>
    </w:p>
    <w:p>
      <w:pPr>
        <w:adjustRightInd w:val="0"/>
        <w:snapToGrid w:val="0"/>
        <w:spacing w:line="360" w:lineRule="auto"/>
        <w:ind w:firstLine="420" w:firstLineChars="200"/>
      </w:pPr>
      <w:r>
        <w:rPr>
          <w:rFonts w:hint="eastAsia"/>
        </w:rPr>
        <w:t>1. Clinical Pharmacology（2nd edition）：自编教材. 2013.8.</w:t>
      </w:r>
    </w:p>
    <w:p>
      <w:pPr>
        <w:adjustRightInd w:val="0"/>
        <w:snapToGrid w:val="0"/>
        <w:spacing w:line="360" w:lineRule="auto"/>
        <w:ind w:firstLine="420" w:firstLineChars="200"/>
      </w:pPr>
      <w:r>
        <w:rPr>
          <w:rFonts w:hint="eastAsia"/>
        </w:rPr>
        <w:t>2. Clinical Pharmacy and Therapeutics Fifth Edition.</w:t>
      </w:r>
      <w:r>
        <w:t xml:space="preserve"> </w:t>
      </w:r>
      <w:r>
        <w:rPr>
          <w:rFonts w:hint="eastAsia"/>
        </w:rPr>
        <w:t>Roger Walker and Cate Whittlesea</w:t>
      </w:r>
      <w:r>
        <w:t>.</w:t>
      </w:r>
      <w:r>
        <w:rPr>
          <w:rFonts w:hint="eastAsia"/>
        </w:rPr>
        <w:t xml:space="preserve"> Churchill Livingstone ELSEVIER, 2012.</w:t>
      </w:r>
    </w:p>
    <w:p>
      <w:pPr>
        <w:adjustRightInd w:val="0"/>
        <w:snapToGrid w:val="0"/>
        <w:spacing w:line="360" w:lineRule="auto"/>
        <w:ind w:firstLine="420" w:firstLineChars="200"/>
      </w:pPr>
      <w:r>
        <w:rPr>
          <w:rFonts w:hint="eastAsia"/>
        </w:rPr>
        <w:t>3. Melmon and Morrelli</w:t>
      </w:r>
      <w:r>
        <w:t>’</w:t>
      </w:r>
      <w:r>
        <w:rPr>
          <w:rFonts w:hint="eastAsia"/>
        </w:rPr>
        <w:t>s Clinical Pharmacology. Fourth Edition.</w:t>
      </w:r>
      <w:r>
        <w:t xml:space="preserve"> </w:t>
      </w:r>
      <w:r>
        <w:rPr>
          <w:rFonts w:hint="eastAsia"/>
        </w:rPr>
        <w:t>S. George Carruthers, Brian B. Hoffman, Kenneth L. Melmon, et al. McGraw-Hill, 2000.</w:t>
      </w:r>
    </w:p>
    <w:p>
      <w:pPr>
        <w:adjustRightInd w:val="0"/>
        <w:snapToGrid w:val="0"/>
        <w:spacing w:line="360" w:lineRule="auto"/>
        <w:ind w:firstLine="420" w:firstLineChars="200"/>
      </w:pPr>
      <w:r>
        <w:rPr>
          <w:rFonts w:hint="eastAsia"/>
        </w:rPr>
        <w:t xml:space="preserve">4. Basic and Clinical Pharmacology. </w:t>
      </w:r>
      <w:r>
        <w:t>14</w:t>
      </w:r>
      <w:r>
        <w:rPr>
          <w:rFonts w:hint="eastAsia"/>
        </w:rPr>
        <w:t>th Edition.</w:t>
      </w:r>
      <w:r>
        <w:t xml:space="preserve"> </w:t>
      </w:r>
      <w:r>
        <w:rPr>
          <w:rFonts w:hint="eastAsia"/>
        </w:rPr>
        <w:t>Bertram G. Katzung. McGraw-Hill, 2001.</w:t>
      </w:r>
    </w:p>
    <w:p>
      <w:pPr>
        <w:adjustRightInd w:val="0"/>
        <w:snapToGrid w:val="0"/>
        <w:spacing w:line="360" w:lineRule="auto"/>
        <w:ind w:firstLine="422" w:firstLineChars="200"/>
        <w:rPr>
          <w:b/>
        </w:rPr>
      </w:pPr>
      <w:r>
        <w:rPr>
          <w:rFonts w:hint="eastAsia"/>
          <w:b/>
        </w:rPr>
        <w:t>十、考核方式：</w:t>
      </w:r>
    </w:p>
    <w:p>
      <w:pPr>
        <w:adjustRightInd w:val="0"/>
        <w:snapToGrid w:val="0"/>
        <w:spacing w:line="360" w:lineRule="auto"/>
        <w:ind w:firstLine="420" w:firstLineChars="200"/>
      </w:pPr>
      <w:r>
        <w:t>（一）考核与评价原则</w:t>
      </w:r>
    </w:p>
    <w:p>
      <w:pPr>
        <w:adjustRightInd w:val="0"/>
        <w:snapToGrid w:val="0"/>
        <w:spacing w:line="360" w:lineRule="auto"/>
        <w:ind w:firstLine="420" w:firstLineChars="200"/>
      </w:pPr>
      <w:r>
        <w:t>加强教学过程管理，</w:t>
      </w:r>
      <w:r>
        <w:rPr>
          <w:rFonts w:hint="eastAsia"/>
        </w:rPr>
        <w:t>完善</w:t>
      </w:r>
      <w:r>
        <w:t>学生知识形成</w:t>
      </w:r>
      <w:r>
        <w:rPr>
          <w:rFonts w:hint="eastAsia"/>
        </w:rPr>
        <w:t>过程跟踪</w:t>
      </w:r>
      <w:r>
        <w:t>，增强学生学习的主动性、自觉性和积极性</w:t>
      </w:r>
      <w:r>
        <w:rPr>
          <w:rFonts w:hint="eastAsia"/>
        </w:rPr>
        <w:t>，采用</w:t>
      </w:r>
      <w:r>
        <w:t>过程性评价与终结性评价相结合的</w:t>
      </w:r>
      <w:r>
        <w:rPr>
          <w:rFonts w:hint="eastAsia"/>
        </w:rPr>
        <w:t>考核与评价方式。</w:t>
      </w:r>
    </w:p>
    <w:p>
      <w:pPr>
        <w:adjustRightInd w:val="0"/>
        <w:snapToGrid w:val="0"/>
        <w:spacing w:line="360" w:lineRule="auto"/>
        <w:ind w:firstLine="420" w:firstLineChars="200"/>
      </w:pPr>
      <w:r>
        <w:rPr>
          <w:rFonts w:hint="eastAsia"/>
        </w:rPr>
        <w:t>（二）成绩评定方法和实施细则</w:t>
      </w:r>
    </w:p>
    <w:p>
      <w:pPr>
        <w:adjustRightInd w:val="0"/>
        <w:snapToGrid w:val="0"/>
        <w:spacing w:line="360" w:lineRule="auto"/>
        <w:ind w:firstLine="420" w:firstLineChars="200"/>
      </w:pPr>
      <w:r>
        <w:t>1. 平时成绩（占总成绩的40%）：以下前3项为指定内容：</w:t>
      </w:r>
    </w:p>
    <w:p>
      <w:pPr>
        <w:adjustRightInd w:val="0"/>
        <w:snapToGrid w:val="0"/>
        <w:spacing w:line="360" w:lineRule="auto"/>
        <w:ind w:firstLine="420" w:firstLineChars="200"/>
      </w:pPr>
      <w:r>
        <w:t>（1）自主学习：占平时成绩的50%；</w:t>
      </w:r>
    </w:p>
    <w:p>
      <w:pPr>
        <w:adjustRightInd w:val="0"/>
        <w:snapToGrid w:val="0"/>
        <w:spacing w:line="360" w:lineRule="auto"/>
        <w:ind w:firstLine="420" w:firstLineChars="200"/>
      </w:pPr>
      <w:r>
        <w:t>（2）课堂测验：教师随堂组织。每次测验成绩不超过平时成绩的10%，每学期测验不少于2次；测验占平时成绩20%-40%；</w:t>
      </w:r>
    </w:p>
    <w:p>
      <w:pPr>
        <w:adjustRightInd w:val="0"/>
        <w:snapToGrid w:val="0"/>
        <w:spacing w:line="360" w:lineRule="auto"/>
        <w:ind w:firstLine="420" w:firstLineChars="200"/>
      </w:pPr>
      <w:r>
        <w:t>（3）考勤：占平时成绩的10%。</w:t>
      </w:r>
    </w:p>
    <w:p>
      <w:pPr>
        <w:adjustRightInd w:val="0"/>
        <w:snapToGrid w:val="0"/>
        <w:spacing w:line="360" w:lineRule="auto"/>
        <w:ind w:firstLine="420" w:firstLineChars="200"/>
      </w:pPr>
      <w:r>
        <w:t>（4）其他（此项可替代部分课堂测验）：不超过平时成绩的20%。</w:t>
      </w:r>
    </w:p>
    <w:p>
      <w:pPr>
        <w:adjustRightInd w:val="0"/>
        <w:snapToGrid w:val="0"/>
        <w:spacing w:line="360" w:lineRule="auto"/>
        <w:ind w:firstLine="420" w:firstLineChars="200"/>
      </w:pPr>
      <w:r>
        <w:t>2. 期末考试（占总成绩的60%）：闭卷考试；英文试题；题型包括名词解释、选择、判断改错、简答题、问答题、案例分析等题型。</w:t>
      </w:r>
    </w:p>
    <w:p>
      <w:pPr>
        <w:adjustRightInd w:val="0"/>
        <w:snapToGrid w:val="0"/>
        <w:spacing w:line="360" w:lineRule="auto"/>
        <w:ind w:firstLine="420" w:firstLineChars="200"/>
      </w:pPr>
      <w:r>
        <w:rPr>
          <w:rFonts w:hint="eastAsia"/>
        </w:rPr>
        <w:t>（三）考核结果反馈</w:t>
      </w:r>
    </w:p>
    <w:p>
      <w:pPr>
        <w:adjustRightInd w:val="0"/>
        <w:snapToGrid w:val="0"/>
        <w:spacing w:line="360" w:lineRule="auto"/>
        <w:ind w:firstLine="420" w:firstLineChars="200"/>
      </w:pPr>
      <w:r>
        <w:rPr>
          <w:rFonts w:hint="eastAsia"/>
        </w:rPr>
        <w:t>考核结果在教务处网站向学生发布。教师通过课程微信群、网络教学平台等途径将考核与评价的分析结果对</w:t>
      </w:r>
      <w:r>
        <w:t>学生</w:t>
      </w:r>
      <w:r>
        <w:rPr>
          <w:rFonts w:hint="eastAsia"/>
        </w:rPr>
        <w:t>进行反馈，并征集学生对本课程教学情况的意见或建议，以期今后改进教学，提高教学效果</w:t>
      </w:r>
      <w:r>
        <w:t>。</w:t>
      </w:r>
    </w:p>
    <w:p>
      <w:pPr>
        <w:spacing w:line="288" w:lineRule="auto"/>
        <w:rPr>
          <w:b/>
        </w:rPr>
        <w:sectPr>
          <w:footerReference r:id="rId5" w:type="first"/>
          <w:footerReference r:id="rId3" w:type="default"/>
          <w:footerReference r:id="rId4" w:type="even"/>
          <w:pgSz w:w="11906" w:h="16838"/>
          <w:pgMar w:top="1440" w:right="1797" w:bottom="1440" w:left="1797" w:header="851" w:footer="992" w:gutter="0"/>
          <w:cols w:space="425" w:num="1"/>
          <w:docGrid w:type="lines" w:linePitch="312" w:charSpace="0"/>
        </w:sectPr>
      </w:pPr>
    </w:p>
    <w:p>
      <w:pPr>
        <w:spacing w:line="288" w:lineRule="auto"/>
        <w:rPr>
          <w:b/>
        </w:rPr>
      </w:pPr>
      <w:r>
        <w:rPr>
          <w:rFonts w:hint="eastAsia"/>
          <w:b/>
        </w:rPr>
        <w:t>附表：教学计划表</w:t>
      </w:r>
    </w:p>
    <w:tbl>
      <w:tblPr>
        <w:tblStyle w:val="11"/>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4997"/>
        <w:gridCol w:w="2268"/>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07" w:type="dxa"/>
            <w:vAlign w:val="center"/>
          </w:tcPr>
          <w:p>
            <w:pPr>
              <w:spacing w:line="288" w:lineRule="auto"/>
              <w:jc w:val="center"/>
              <w:rPr>
                <w:b/>
              </w:rPr>
            </w:pPr>
            <w:r>
              <w:rPr>
                <w:rFonts w:hint="eastAsia"/>
                <w:b/>
              </w:rPr>
              <w:t>序号</w:t>
            </w:r>
          </w:p>
        </w:tc>
        <w:tc>
          <w:tcPr>
            <w:tcW w:w="4997" w:type="dxa"/>
            <w:vAlign w:val="center"/>
          </w:tcPr>
          <w:p>
            <w:pPr>
              <w:spacing w:line="288" w:lineRule="auto"/>
              <w:jc w:val="center"/>
              <w:rPr>
                <w:b/>
              </w:rPr>
            </w:pPr>
            <w:r>
              <w:rPr>
                <w:rFonts w:hint="eastAsia"/>
                <w:b/>
              </w:rPr>
              <w:t>学习内容</w:t>
            </w:r>
          </w:p>
        </w:tc>
        <w:tc>
          <w:tcPr>
            <w:tcW w:w="2268" w:type="dxa"/>
            <w:vAlign w:val="center"/>
          </w:tcPr>
          <w:p>
            <w:pPr>
              <w:spacing w:line="288" w:lineRule="auto"/>
              <w:jc w:val="center"/>
              <w:rPr>
                <w:b/>
              </w:rPr>
            </w:pPr>
            <w:r>
              <w:rPr>
                <w:rFonts w:hint="eastAsia"/>
                <w:b/>
              </w:rPr>
              <w:t>理论学时</w:t>
            </w:r>
          </w:p>
        </w:tc>
        <w:tc>
          <w:tcPr>
            <w:tcW w:w="2126" w:type="dxa"/>
            <w:vAlign w:val="center"/>
          </w:tcPr>
          <w:p>
            <w:pPr>
              <w:spacing w:line="288" w:lineRule="auto"/>
              <w:jc w:val="center"/>
              <w:rPr>
                <w:b/>
              </w:rPr>
            </w:pPr>
            <w:r>
              <w:rPr>
                <w:rFonts w:hint="eastAsia"/>
                <w:b/>
              </w:rPr>
              <w:t>实验学时</w:t>
            </w:r>
          </w:p>
        </w:tc>
        <w:tc>
          <w:tcPr>
            <w:tcW w:w="2977" w:type="dxa"/>
            <w:vAlign w:val="center"/>
          </w:tcPr>
          <w:p>
            <w:pPr>
              <w:spacing w:line="288"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vAlign w:val="center"/>
          </w:tcPr>
          <w:p>
            <w:pPr>
              <w:spacing w:line="288" w:lineRule="auto"/>
              <w:jc w:val="center"/>
              <w:rPr>
                <w:b/>
              </w:rPr>
            </w:pPr>
            <w:r>
              <w:rPr>
                <w:rFonts w:hint="eastAsia"/>
                <w:b/>
              </w:rPr>
              <w:t>1</w:t>
            </w:r>
          </w:p>
        </w:tc>
        <w:tc>
          <w:tcPr>
            <w:tcW w:w="4997" w:type="dxa"/>
            <w:vAlign w:val="center"/>
          </w:tcPr>
          <w:p>
            <w:pPr>
              <w:spacing w:line="288" w:lineRule="auto"/>
              <w:jc w:val="center"/>
            </w:pPr>
            <w:r>
              <w:rPr>
                <w:rFonts w:hint="eastAsia"/>
              </w:rPr>
              <w:t>绪论</w:t>
            </w:r>
          </w:p>
        </w:tc>
        <w:tc>
          <w:tcPr>
            <w:tcW w:w="2268" w:type="dxa"/>
            <w:vAlign w:val="center"/>
          </w:tcPr>
          <w:p>
            <w:pPr>
              <w:spacing w:line="288" w:lineRule="auto"/>
              <w:jc w:val="center"/>
            </w:pPr>
            <w:r>
              <w:rPr>
                <w:rFonts w:hint="eastAsia"/>
              </w:rPr>
              <w:t>2</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07" w:type="dxa"/>
            <w:vAlign w:val="center"/>
          </w:tcPr>
          <w:p>
            <w:pPr>
              <w:spacing w:line="288" w:lineRule="auto"/>
              <w:jc w:val="center"/>
              <w:rPr>
                <w:b/>
              </w:rPr>
            </w:pPr>
            <w:r>
              <w:rPr>
                <w:rFonts w:hint="eastAsia"/>
                <w:b/>
              </w:rPr>
              <w:t>2</w:t>
            </w:r>
          </w:p>
        </w:tc>
        <w:tc>
          <w:tcPr>
            <w:tcW w:w="4997" w:type="dxa"/>
            <w:vAlign w:val="center"/>
          </w:tcPr>
          <w:p>
            <w:pPr>
              <w:spacing w:line="288" w:lineRule="auto"/>
              <w:jc w:val="center"/>
            </w:pPr>
            <w:r>
              <w:rPr>
                <w:rFonts w:hint="eastAsia"/>
              </w:rPr>
              <w:t>临床药效学</w:t>
            </w:r>
          </w:p>
        </w:tc>
        <w:tc>
          <w:tcPr>
            <w:tcW w:w="2268" w:type="dxa"/>
            <w:vAlign w:val="center"/>
          </w:tcPr>
          <w:p>
            <w:pPr>
              <w:spacing w:line="288" w:lineRule="auto"/>
              <w:jc w:val="center"/>
            </w:pPr>
            <w:r>
              <w:rPr>
                <w:rFonts w:hint="eastAsia"/>
              </w:rPr>
              <w:t>2</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07" w:type="dxa"/>
            <w:vAlign w:val="center"/>
          </w:tcPr>
          <w:p>
            <w:pPr>
              <w:spacing w:line="288" w:lineRule="auto"/>
              <w:jc w:val="center"/>
              <w:rPr>
                <w:b/>
              </w:rPr>
            </w:pPr>
            <w:r>
              <w:rPr>
                <w:rFonts w:hint="eastAsia"/>
                <w:b/>
              </w:rPr>
              <w:t>3</w:t>
            </w:r>
          </w:p>
        </w:tc>
        <w:tc>
          <w:tcPr>
            <w:tcW w:w="4997" w:type="dxa"/>
            <w:vAlign w:val="center"/>
          </w:tcPr>
          <w:p>
            <w:pPr>
              <w:spacing w:line="288" w:lineRule="auto"/>
              <w:jc w:val="center"/>
            </w:pPr>
            <w:r>
              <w:rPr>
                <w:rFonts w:hint="eastAsia"/>
              </w:rPr>
              <w:t>药物临床研究</w:t>
            </w:r>
          </w:p>
        </w:tc>
        <w:tc>
          <w:tcPr>
            <w:tcW w:w="2268" w:type="dxa"/>
            <w:vAlign w:val="center"/>
          </w:tcPr>
          <w:p>
            <w:pPr>
              <w:spacing w:line="288" w:lineRule="auto"/>
              <w:jc w:val="center"/>
            </w:pPr>
            <w:r>
              <w:rPr>
                <w:rFonts w:hint="eastAsia"/>
              </w:rPr>
              <w:t>6</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4</w:t>
            </w:r>
          </w:p>
        </w:tc>
        <w:tc>
          <w:tcPr>
            <w:tcW w:w="4997" w:type="dxa"/>
            <w:vAlign w:val="center"/>
          </w:tcPr>
          <w:p>
            <w:pPr>
              <w:spacing w:line="288" w:lineRule="auto"/>
              <w:jc w:val="center"/>
            </w:pPr>
            <w:r>
              <w:rPr>
                <w:rFonts w:hint="eastAsia"/>
              </w:rPr>
              <w:t>妊娠期、哺乳期妇女与新生儿合理用药</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07" w:type="dxa"/>
            <w:vAlign w:val="center"/>
          </w:tcPr>
          <w:p>
            <w:pPr>
              <w:spacing w:line="288" w:lineRule="auto"/>
              <w:jc w:val="center"/>
              <w:rPr>
                <w:b/>
              </w:rPr>
            </w:pPr>
            <w:r>
              <w:rPr>
                <w:rFonts w:hint="eastAsia"/>
                <w:b/>
              </w:rPr>
              <w:t>5</w:t>
            </w:r>
          </w:p>
        </w:tc>
        <w:tc>
          <w:tcPr>
            <w:tcW w:w="4997" w:type="dxa"/>
            <w:vAlign w:val="center"/>
          </w:tcPr>
          <w:p>
            <w:pPr>
              <w:spacing w:line="288" w:lineRule="auto"/>
              <w:jc w:val="center"/>
            </w:pPr>
            <w:r>
              <w:rPr>
                <w:rFonts w:hint="eastAsia"/>
              </w:rPr>
              <w:t>老年人合理用药</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207" w:type="dxa"/>
            <w:vAlign w:val="center"/>
          </w:tcPr>
          <w:p>
            <w:pPr>
              <w:spacing w:line="288" w:lineRule="auto"/>
              <w:jc w:val="center"/>
              <w:rPr>
                <w:b/>
              </w:rPr>
            </w:pPr>
            <w:r>
              <w:rPr>
                <w:rFonts w:hint="eastAsia"/>
                <w:b/>
              </w:rPr>
              <w:t>6</w:t>
            </w:r>
          </w:p>
        </w:tc>
        <w:tc>
          <w:tcPr>
            <w:tcW w:w="4997" w:type="dxa"/>
            <w:vAlign w:val="center"/>
          </w:tcPr>
          <w:p>
            <w:pPr>
              <w:spacing w:line="288" w:lineRule="auto"/>
              <w:jc w:val="center"/>
            </w:pPr>
            <w:r>
              <w:rPr>
                <w:rFonts w:hint="eastAsia"/>
              </w:rPr>
              <w:t>时间药理学</w:t>
            </w:r>
          </w:p>
        </w:tc>
        <w:tc>
          <w:tcPr>
            <w:tcW w:w="2268" w:type="dxa"/>
            <w:vAlign w:val="center"/>
          </w:tcPr>
          <w:p>
            <w:pPr>
              <w:spacing w:line="288" w:lineRule="auto"/>
              <w:jc w:val="center"/>
            </w:pPr>
            <w:r>
              <w:rPr>
                <w:rFonts w:hint="eastAsia"/>
              </w:rPr>
              <w:t>2</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07" w:type="dxa"/>
            <w:vAlign w:val="center"/>
          </w:tcPr>
          <w:p>
            <w:pPr>
              <w:spacing w:line="288" w:lineRule="auto"/>
              <w:jc w:val="center"/>
              <w:rPr>
                <w:b/>
              </w:rPr>
            </w:pPr>
            <w:r>
              <w:rPr>
                <w:rFonts w:hint="eastAsia"/>
                <w:b/>
              </w:rPr>
              <w:t>7</w:t>
            </w:r>
          </w:p>
        </w:tc>
        <w:tc>
          <w:tcPr>
            <w:tcW w:w="4997" w:type="dxa"/>
            <w:vAlign w:val="center"/>
          </w:tcPr>
          <w:p>
            <w:pPr>
              <w:spacing w:line="288" w:lineRule="auto"/>
              <w:jc w:val="center"/>
            </w:pPr>
            <w:r>
              <w:rPr>
                <w:rFonts w:hint="eastAsia"/>
              </w:rPr>
              <w:t>抗菌药物的合理用药</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8</w:t>
            </w:r>
          </w:p>
        </w:tc>
        <w:tc>
          <w:tcPr>
            <w:tcW w:w="4997" w:type="dxa"/>
            <w:vAlign w:val="center"/>
          </w:tcPr>
          <w:p>
            <w:pPr>
              <w:spacing w:line="288" w:lineRule="auto"/>
              <w:jc w:val="center"/>
            </w:pPr>
            <w:r>
              <w:rPr>
                <w:rFonts w:hint="eastAsia"/>
              </w:rPr>
              <w:t>药物不良反应和药源性疾病</w:t>
            </w:r>
          </w:p>
        </w:tc>
        <w:tc>
          <w:tcPr>
            <w:tcW w:w="2268" w:type="dxa"/>
            <w:vAlign w:val="center"/>
          </w:tcPr>
          <w:p>
            <w:pPr>
              <w:spacing w:line="288" w:lineRule="auto"/>
              <w:jc w:val="center"/>
            </w:pPr>
            <w:r>
              <w:t>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9</w:t>
            </w:r>
          </w:p>
        </w:tc>
        <w:tc>
          <w:tcPr>
            <w:tcW w:w="4997" w:type="dxa"/>
            <w:vAlign w:val="center"/>
          </w:tcPr>
          <w:p>
            <w:pPr>
              <w:spacing w:line="288" w:lineRule="auto"/>
              <w:jc w:val="center"/>
            </w:pPr>
            <w:r>
              <w:rPr>
                <w:rFonts w:hint="eastAsia"/>
              </w:rPr>
              <w:t>药物相互作用</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10</w:t>
            </w:r>
          </w:p>
        </w:tc>
        <w:tc>
          <w:tcPr>
            <w:tcW w:w="4997" w:type="dxa"/>
            <w:vAlign w:val="center"/>
          </w:tcPr>
          <w:p>
            <w:pPr>
              <w:spacing w:line="288" w:lineRule="auto"/>
              <w:jc w:val="center"/>
            </w:pPr>
            <w:r>
              <w:rPr>
                <w:rFonts w:hint="eastAsia"/>
              </w:rPr>
              <w:t>遗传药理学</w:t>
            </w:r>
          </w:p>
        </w:tc>
        <w:tc>
          <w:tcPr>
            <w:tcW w:w="2268" w:type="dxa"/>
            <w:vAlign w:val="center"/>
          </w:tcPr>
          <w:p>
            <w:pPr>
              <w:spacing w:line="288" w:lineRule="auto"/>
              <w:jc w:val="center"/>
            </w:pPr>
            <w:r>
              <w:rPr>
                <w:rFonts w:hint="eastAsia"/>
              </w:rPr>
              <w:t>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11</w:t>
            </w:r>
          </w:p>
        </w:tc>
        <w:tc>
          <w:tcPr>
            <w:tcW w:w="4997" w:type="dxa"/>
            <w:vAlign w:val="center"/>
          </w:tcPr>
          <w:p>
            <w:pPr>
              <w:spacing w:line="288" w:lineRule="auto"/>
              <w:jc w:val="center"/>
            </w:pPr>
            <w:r>
              <w:rPr>
                <w:rFonts w:hint="eastAsia"/>
              </w:rPr>
              <w:t>临床药动学</w:t>
            </w:r>
          </w:p>
        </w:tc>
        <w:tc>
          <w:tcPr>
            <w:tcW w:w="2268" w:type="dxa"/>
            <w:vAlign w:val="center"/>
          </w:tcPr>
          <w:p>
            <w:pPr>
              <w:spacing w:line="288" w:lineRule="auto"/>
              <w:jc w:val="center"/>
            </w:pPr>
            <w: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12</w:t>
            </w:r>
          </w:p>
        </w:tc>
        <w:tc>
          <w:tcPr>
            <w:tcW w:w="4997" w:type="dxa"/>
            <w:vAlign w:val="center"/>
          </w:tcPr>
          <w:p>
            <w:pPr>
              <w:spacing w:line="288" w:lineRule="auto"/>
              <w:jc w:val="center"/>
            </w:pPr>
            <w:r>
              <w:rPr>
                <w:rFonts w:hint="eastAsia"/>
              </w:rPr>
              <w:t>治疗药物监测及其应用</w:t>
            </w:r>
          </w:p>
        </w:tc>
        <w:tc>
          <w:tcPr>
            <w:tcW w:w="2268" w:type="dxa"/>
            <w:vAlign w:val="center"/>
          </w:tcPr>
          <w:p>
            <w:pPr>
              <w:spacing w:line="288" w:lineRule="auto"/>
              <w:jc w:val="center"/>
            </w:pPr>
            <w:r>
              <w:rPr>
                <w:rFonts w:hint="eastAsia"/>
              </w:rPr>
              <w:t>2</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序号</w:t>
            </w:r>
          </w:p>
        </w:tc>
        <w:tc>
          <w:tcPr>
            <w:tcW w:w="4997" w:type="dxa"/>
            <w:vAlign w:val="center"/>
          </w:tcPr>
          <w:p>
            <w:pPr>
              <w:spacing w:line="288" w:lineRule="auto"/>
              <w:jc w:val="center"/>
              <w:rPr>
                <w:b/>
              </w:rPr>
            </w:pPr>
            <w:r>
              <w:rPr>
                <w:rFonts w:hint="eastAsia"/>
                <w:b/>
              </w:rPr>
              <w:t>学习内容</w:t>
            </w:r>
          </w:p>
        </w:tc>
        <w:tc>
          <w:tcPr>
            <w:tcW w:w="2268" w:type="dxa"/>
            <w:vAlign w:val="center"/>
          </w:tcPr>
          <w:p>
            <w:pPr>
              <w:spacing w:line="288" w:lineRule="auto"/>
              <w:jc w:val="center"/>
              <w:rPr>
                <w:b/>
              </w:rPr>
            </w:pPr>
            <w:r>
              <w:rPr>
                <w:rFonts w:hint="eastAsia"/>
                <w:b/>
              </w:rPr>
              <w:t>理论学时</w:t>
            </w:r>
          </w:p>
        </w:tc>
        <w:tc>
          <w:tcPr>
            <w:tcW w:w="2126" w:type="dxa"/>
            <w:vAlign w:val="center"/>
          </w:tcPr>
          <w:p>
            <w:pPr>
              <w:spacing w:line="288" w:lineRule="auto"/>
              <w:jc w:val="center"/>
              <w:rPr>
                <w:b/>
              </w:rPr>
            </w:pPr>
            <w:r>
              <w:rPr>
                <w:rFonts w:hint="eastAsia"/>
                <w:b/>
              </w:rPr>
              <w:t>实验学时</w:t>
            </w:r>
          </w:p>
        </w:tc>
        <w:tc>
          <w:tcPr>
            <w:tcW w:w="2977" w:type="dxa"/>
            <w:vAlign w:val="center"/>
          </w:tcPr>
          <w:p>
            <w:pPr>
              <w:spacing w:line="288"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13</w:t>
            </w:r>
          </w:p>
        </w:tc>
        <w:tc>
          <w:tcPr>
            <w:tcW w:w="4997" w:type="dxa"/>
            <w:vAlign w:val="center"/>
          </w:tcPr>
          <w:p>
            <w:pPr>
              <w:spacing w:line="288" w:lineRule="auto"/>
              <w:jc w:val="center"/>
            </w:pPr>
            <w:r>
              <w:rPr>
                <w:rFonts w:hint="eastAsia"/>
              </w:rPr>
              <w:t>疾病对药物的药效学和药动学的影响</w:t>
            </w:r>
          </w:p>
        </w:tc>
        <w:tc>
          <w:tcPr>
            <w:tcW w:w="2268" w:type="dxa"/>
            <w:vAlign w:val="center"/>
          </w:tcPr>
          <w:p>
            <w:pPr>
              <w:spacing w:line="288" w:lineRule="auto"/>
              <w:jc w:val="center"/>
            </w:pPr>
            <w:r>
              <w:t>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14</w:t>
            </w:r>
          </w:p>
        </w:tc>
        <w:tc>
          <w:tcPr>
            <w:tcW w:w="4997" w:type="dxa"/>
            <w:vAlign w:val="center"/>
          </w:tcPr>
          <w:p>
            <w:pPr>
              <w:spacing w:line="288" w:lineRule="auto"/>
              <w:jc w:val="center"/>
            </w:pPr>
            <w:r>
              <w:rPr>
                <w:rFonts w:hint="eastAsia"/>
              </w:rPr>
              <w:t>高血压治疗药物</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是（</w:t>
            </w:r>
            <w:r>
              <w:t>3</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15</w:t>
            </w:r>
          </w:p>
        </w:tc>
        <w:tc>
          <w:tcPr>
            <w:tcW w:w="4997" w:type="dxa"/>
            <w:vAlign w:val="center"/>
          </w:tcPr>
          <w:p>
            <w:pPr>
              <w:spacing w:line="288" w:lineRule="auto"/>
              <w:jc w:val="center"/>
            </w:pPr>
            <w:r>
              <w:rPr>
                <w:rFonts w:hint="eastAsia"/>
              </w:rPr>
              <w:t>血脂调节药物</w:t>
            </w:r>
          </w:p>
        </w:tc>
        <w:tc>
          <w:tcPr>
            <w:tcW w:w="2268" w:type="dxa"/>
            <w:vAlign w:val="center"/>
          </w:tcPr>
          <w:p>
            <w:pPr>
              <w:spacing w:line="288" w:lineRule="auto"/>
              <w:jc w:val="center"/>
            </w:pPr>
            <w:r>
              <w:t>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w:t>
            </w:r>
            <w:r>
              <w:rPr>
                <w:b/>
              </w:rPr>
              <w:t>6</w:t>
            </w:r>
          </w:p>
        </w:tc>
        <w:tc>
          <w:tcPr>
            <w:tcW w:w="4997" w:type="dxa"/>
            <w:vAlign w:val="center"/>
          </w:tcPr>
          <w:p>
            <w:pPr>
              <w:spacing w:line="288" w:lineRule="auto"/>
              <w:jc w:val="center"/>
            </w:pPr>
            <w:r>
              <w:rPr>
                <w:rFonts w:hint="eastAsia"/>
              </w:rPr>
              <w:t>心绞痛治疗药物</w:t>
            </w:r>
          </w:p>
        </w:tc>
        <w:tc>
          <w:tcPr>
            <w:tcW w:w="2268" w:type="dxa"/>
            <w:vAlign w:val="center"/>
          </w:tcPr>
          <w:p>
            <w:pPr>
              <w:spacing w:line="288" w:lineRule="auto"/>
              <w:jc w:val="center"/>
            </w:pPr>
            <w:r>
              <w:rPr>
                <w:rFonts w:hint="eastAsia"/>
              </w:rPr>
              <w:t>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17</w:t>
            </w:r>
          </w:p>
        </w:tc>
        <w:tc>
          <w:tcPr>
            <w:tcW w:w="4997" w:type="dxa"/>
            <w:vAlign w:val="center"/>
          </w:tcPr>
          <w:p>
            <w:pPr>
              <w:spacing w:line="288" w:lineRule="auto"/>
              <w:jc w:val="center"/>
            </w:pPr>
            <w:r>
              <w:rPr>
                <w:rFonts w:hint="eastAsia"/>
              </w:rPr>
              <w:t>心力衰竭防治药物</w:t>
            </w:r>
          </w:p>
        </w:tc>
        <w:tc>
          <w:tcPr>
            <w:tcW w:w="2268" w:type="dxa"/>
            <w:vAlign w:val="center"/>
          </w:tcPr>
          <w:p>
            <w:pPr>
              <w:spacing w:line="288" w:lineRule="auto"/>
              <w:jc w:val="center"/>
            </w:pPr>
            <w:r>
              <w:rPr>
                <w:rFonts w:hint="eastAsia"/>
              </w:rPr>
              <w:t>4</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18</w:t>
            </w:r>
          </w:p>
        </w:tc>
        <w:tc>
          <w:tcPr>
            <w:tcW w:w="4997" w:type="dxa"/>
            <w:vAlign w:val="center"/>
          </w:tcPr>
          <w:p>
            <w:pPr>
              <w:spacing w:line="288" w:lineRule="auto"/>
              <w:jc w:val="center"/>
            </w:pPr>
            <w:r>
              <w:rPr>
                <w:rFonts w:hint="eastAsia"/>
              </w:rPr>
              <w:t>糖尿病治疗药物</w:t>
            </w:r>
          </w:p>
        </w:tc>
        <w:tc>
          <w:tcPr>
            <w:tcW w:w="2268" w:type="dxa"/>
            <w:vAlign w:val="center"/>
          </w:tcPr>
          <w:p>
            <w:pPr>
              <w:spacing w:line="288" w:lineRule="auto"/>
              <w:jc w:val="center"/>
            </w:pPr>
            <w:r>
              <w:t>6</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rFonts w:hint="eastAsia"/>
                <w:b/>
              </w:rPr>
            </w:pPr>
            <w:r>
              <w:rPr>
                <w:rFonts w:hint="eastAsia"/>
                <w:b/>
              </w:rPr>
              <w:t>19</w:t>
            </w:r>
          </w:p>
        </w:tc>
        <w:tc>
          <w:tcPr>
            <w:tcW w:w="4997" w:type="dxa"/>
            <w:vAlign w:val="center"/>
          </w:tcPr>
          <w:p>
            <w:pPr>
              <w:spacing w:line="288" w:lineRule="auto"/>
              <w:jc w:val="center"/>
              <w:rPr>
                <w:rFonts w:hint="eastAsia"/>
              </w:rPr>
            </w:pPr>
            <w:r>
              <w:rPr>
                <w:rFonts w:hint="eastAsia"/>
              </w:rPr>
              <w:t>合计</w:t>
            </w:r>
          </w:p>
        </w:tc>
        <w:tc>
          <w:tcPr>
            <w:tcW w:w="2268" w:type="dxa"/>
            <w:vAlign w:val="center"/>
          </w:tcPr>
          <w:p>
            <w:pPr>
              <w:spacing w:line="288" w:lineRule="auto"/>
              <w:jc w:val="center"/>
            </w:pPr>
            <w:r>
              <w:rPr>
                <w:rFonts w:hint="eastAsia"/>
              </w:rPr>
              <w:t>63</w:t>
            </w:r>
          </w:p>
        </w:tc>
        <w:tc>
          <w:tcPr>
            <w:tcW w:w="2126" w:type="dxa"/>
            <w:vAlign w:val="center"/>
          </w:tcPr>
          <w:p>
            <w:pPr>
              <w:spacing w:line="288" w:lineRule="auto"/>
              <w:jc w:val="center"/>
            </w:pPr>
            <w:r>
              <w:rPr>
                <w:rFonts w:hint="eastAsia"/>
              </w:rPr>
              <w:t>0</w:t>
            </w:r>
          </w:p>
        </w:tc>
        <w:tc>
          <w:tcPr>
            <w:tcW w:w="2977" w:type="dxa"/>
            <w:vAlign w:val="center"/>
          </w:tcPr>
          <w:p>
            <w:pPr>
              <w:spacing w:line="288" w:lineRule="auto"/>
              <w:jc w:val="center"/>
              <w:rPr>
                <w:rFonts w:hint="eastAsia"/>
              </w:rPr>
            </w:pPr>
            <w:r>
              <w:rPr>
                <w:rFonts w:hint="eastAsia"/>
              </w:rPr>
              <w:t>5</w:t>
            </w:r>
          </w:p>
        </w:tc>
      </w:tr>
    </w:tbl>
    <w:p>
      <w:pPr>
        <w:spacing w:line="288" w:lineRule="auto"/>
      </w:pPr>
    </w:p>
    <w:p>
      <w:pPr>
        <w:spacing w:line="288" w:lineRule="auto"/>
      </w:pPr>
    </w:p>
    <w:p>
      <w:pPr>
        <w:spacing w:line="288" w:lineRule="auto"/>
      </w:pPr>
    </w:p>
    <w:p/>
    <w:p/>
    <w:p/>
    <w:sectPr>
      <w:headerReference r:id="rId8" w:type="first"/>
      <w:footerReference r:id="rId11" w:type="first"/>
      <w:headerReference r:id="rId6" w:type="default"/>
      <w:footerReference r:id="rId9" w:type="default"/>
      <w:headerReference r:id="rId7" w:type="even"/>
      <w:footerReference r:id="rId10" w:type="even"/>
      <w:pgSz w:w="16838" w:h="11906" w:orient="landscape"/>
      <w:pgMar w:top="1797" w:right="1440" w:bottom="1797" w:left="1440" w:header="851" w:footer="992" w:gutter="0"/>
      <w:cols w:space="425" w:num="1"/>
      <w:docGrid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5</w:t>
    </w:r>
    <w:r>
      <w:rPr>
        <w:rStyle w:val="13"/>
      </w:rP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fldChar w:fldCharType="begin"/>
    </w:r>
    <w:r>
      <w:instrText xml:space="preserve"> PAGE   \* MERGEFORMAT </w:instrText>
    </w:r>
    <w:r>
      <w:fldChar w:fldCharType="separate"/>
    </w:r>
    <w:r>
      <w:rPr>
        <w:lang w:val="zh-CN"/>
      </w:rPr>
      <w:t>7</w:t>
    </w:r>
    <w:r>
      <w:fldChar w:fldCharType="end"/>
    </w: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zMGMzOWMzYzg4ZjQyY2YzM2ExM2I5NjRhZDkwMTAifQ=="/>
    <w:docVar w:name="KY_MEDREF_DOCUID" w:val="{3F01D0CB-1B3C-46D0-84F3-C6B6D065F83F}"/>
    <w:docVar w:name="KY_MEDREF_VERSION" w:val="3"/>
  </w:docVars>
  <w:rsids>
    <w:rsidRoot w:val="00087859"/>
    <w:rsid w:val="00002491"/>
    <w:rsid w:val="00014877"/>
    <w:rsid w:val="00037CF9"/>
    <w:rsid w:val="0004344D"/>
    <w:rsid w:val="00061450"/>
    <w:rsid w:val="000646B7"/>
    <w:rsid w:val="000657C0"/>
    <w:rsid w:val="00085BF3"/>
    <w:rsid w:val="000877E6"/>
    <w:rsid w:val="00087859"/>
    <w:rsid w:val="00090EC0"/>
    <w:rsid w:val="00095A99"/>
    <w:rsid w:val="000B45D8"/>
    <w:rsid w:val="000B7434"/>
    <w:rsid w:val="000C3614"/>
    <w:rsid w:val="000E28C6"/>
    <w:rsid w:val="00117BE9"/>
    <w:rsid w:val="001236EE"/>
    <w:rsid w:val="00125105"/>
    <w:rsid w:val="00126938"/>
    <w:rsid w:val="001444EA"/>
    <w:rsid w:val="0015134F"/>
    <w:rsid w:val="00156AF2"/>
    <w:rsid w:val="00156B47"/>
    <w:rsid w:val="00157D89"/>
    <w:rsid w:val="00165DC1"/>
    <w:rsid w:val="00167D41"/>
    <w:rsid w:val="00174A84"/>
    <w:rsid w:val="00193ECB"/>
    <w:rsid w:val="001955A8"/>
    <w:rsid w:val="001B1282"/>
    <w:rsid w:val="001B1ED6"/>
    <w:rsid w:val="001D5871"/>
    <w:rsid w:val="001F517A"/>
    <w:rsid w:val="00213AAE"/>
    <w:rsid w:val="00217755"/>
    <w:rsid w:val="00217C72"/>
    <w:rsid w:val="00237AD9"/>
    <w:rsid w:val="002400F0"/>
    <w:rsid w:val="00242C7E"/>
    <w:rsid w:val="002516E9"/>
    <w:rsid w:val="00254FBC"/>
    <w:rsid w:val="00260860"/>
    <w:rsid w:val="002642F0"/>
    <w:rsid w:val="00265893"/>
    <w:rsid w:val="00265EA5"/>
    <w:rsid w:val="00267903"/>
    <w:rsid w:val="00275730"/>
    <w:rsid w:val="0028506C"/>
    <w:rsid w:val="0029259C"/>
    <w:rsid w:val="002C4AA6"/>
    <w:rsid w:val="002D3EF1"/>
    <w:rsid w:val="002D6C0A"/>
    <w:rsid w:val="002F0F76"/>
    <w:rsid w:val="00314E38"/>
    <w:rsid w:val="00325281"/>
    <w:rsid w:val="00332375"/>
    <w:rsid w:val="00332F98"/>
    <w:rsid w:val="003431FF"/>
    <w:rsid w:val="0034479E"/>
    <w:rsid w:val="00353A59"/>
    <w:rsid w:val="00355E6C"/>
    <w:rsid w:val="00363442"/>
    <w:rsid w:val="0036513C"/>
    <w:rsid w:val="003742E5"/>
    <w:rsid w:val="00374B7F"/>
    <w:rsid w:val="00374E7D"/>
    <w:rsid w:val="00375288"/>
    <w:rsid w:val="003870E9"/>
    <w:rsid w:val="003A07B5"/>
    <w:rsid w:val="003A4128"/>
    <w:rsid w:val="003A4521"/>
    <w:rsid w:val="003B68ED"/>
    <w:rsid w:val="003B7967"/>
    <w:rsid w:val="003D5FE1"/>
    <w:rsid w:val="003D6837"/>
    <w:rsid w:val="003D7A87"/>
    <w:rsid w:val="003E1020"/>
    <w:rsid w:val="003E18D0"/>
    <w:rsid w:val="003E33F7"/>
    <w:rsid w:val="003E64C5"/>
    <w:rsid w:val="003E77AE"/>
    <w:rsid w:val="003F308E"/>
    <w:rsid w:val="00424148"/>
    <w:rsid w:val="00425233"/>
    <w:rsid w:val="00435392"/>
    <w:rsid w:val="00436E23"/>
    <w:rsid w:val="00440ECB"/>
    <w:rsid w:val="004476F7"/>
    <w:rsid w:val="0046329B"/>
    <w:rsid w:val="00473B54"/>
    <w:rsid w:val="004747EF"/>
    <w:rsid w:val="0049054C"/>
    <w:rsid w:val="004914F6"/>
    <w:rsid w:val="00491FC1"/>
    <w:rsid w:val="004A4117"/>
    <w:rsid w:val="004B3079"/>
    <w:rsid w:val="004B58E4"/>
    <w:rsid w:val="004C5F64"/>
    <w:rsid w:val="004C6746"/>
    <w:rsid w:val="004E1B24"/>
    <w:rsid w:val="004F5490"/>
    <w:rsid w:val="004F75D3"/>
    <w:rsid w:val="005051E3"/>
    <w:rsid w:val="00520DB7"/>
    <w:rsid w:val="0053030E"/>
    <w:rsid w:val="0053522A"/>
    <w:rsid w:val="005438AF"/>
    <w:rsid w:val="005442F9"/>
    <w:rsid w:val="00584D33"/>
    <w:rsid w:val="0058632D"/>
    <w:rsid w:val="0059603A"/>
    <w:rsid w:val="005A0DF2"/>
    <w:rsid w:val="005A71EE"/>
    <w:rsid w:val="005A75BE"/>
    <w:rsid w:val="005B4325"/>
    <w:rsid w:val="005C3F48"/>
    <w:rsid w:val="005C7923"/>
    <w:rsid w:val="005D05AE"/>
    <w:rsid w:val="005D34C1"/>
    <w:rsid w:val="005E0383"/>
    <w:rsid w:val="005F13DA"/>
    <w:rsid w:val="005F156C"/>
    <w:rsid w:val="005F4F91"/>
    <w:rsid w:val="006060DE"/>
    <w:rsid w:val="00606A18"/>
    <w:rsid w:val="00611159"/>
    <w:rsid w:val="00612ABF"/>
    <w:rsid w:val="006131A1"/>
    <w:rsid w:val="0061482B"/>
    <w:rsid w:val="00623AB3"/>
    <w:rsid w:val="0062572C"/>
    <w:rsid w:val="00640461"/>
    <w:rsid w:val="00645C82"/>
    <w:rsid w:val="006520FF"/>
    <w:rsid w:val="006576CC"/>
    <w:rsid w:val="00663208"/>
    <w:rsid w:val="006670AA"/>
    <w:rsid w:val="00693C92"/>
    <w:rsid w:val="0069526C"/>
    <w:rsid w:val="006A4BD9"/>
    <w:rsid w:val="006B103F"/>
    <w:rsid w:val="006B47BA"/>
    <w:rsid w:val="006B5CC0"/>
    <w:rsid w:val="006C668F"/>
    <w:rsid w:val="006D2E85"/>
    <w:rsid w:val="006D6122"/>
    <w:rsid w:val="006E44A4"/>
    <w:rsid w:val="006F121E"/>
    <w:rsid w:val="006F34A6"/>
    <w:rsid w:val="006F37CC"/>
    <w:rsid w:val="00726009"/>
    <w:rsid w:val="00726526"/>
    <w:rsid w:val="00731E06"/>
    <w:rsid w:val="00743141"/>
    <w:rsid w:val="007676B5"/>
    <w:rsid w:val="00767E8C"/>
    <w:rsid w:val="00776294"/>
    <w:rsid w:val="00784F8C"/>
    <w:rsid w:val="007906A2"/>
    <w:rsid w:val="00794933"/>
    <w:rsid w:val="007B2294"/>
    <w:rsid w:val="007C07FC"/>
    <w:rsid w:val="007C7D5D"/>
    <w:rsid w:val="007D371C"/>
    <w:rsid w:val="007E0062"/>
    <w:rsid w:val="007E70F1"/>
    <w:rsid w:val="007F0B78"/>
    <w:rsid w:val="007F28DF"/>
    <w:rsid w:val="007F7283"/>
    <w:rsid w:val="00801825"/>
    <w:rsid w:val="008021B4"/>
    <w:rsid w:val="00806A6A"/>
    <w:rsid w:val="00826DEA"/>
    <w:rsid w:val="00827000"/>
    <w:rsid w:val="00832866"/>
    <w:rsid w:val="00834441"/>
    <w:rsid w:val="008413B9"/>
    <w:rsid w:val="008421C5"/>
    <w:rsid w:val="00843C85"/>
    <w:rsid w:val="008557BB"/>
    <w:rsid w:val="00856629"/>
    <w:rsid w:val="008567AA"/>
    <w:rsid w:val="00863FEA"/>
    <w:rsid w:val="0087016E"/>
    <w:rsid w:val="0087318B"/>
    <w:rsid w:val="00885695"/>
    <w:rsid w:val="008920B8"/>
    <w:rsid w:val="008B1E83"/>
    <w:rsid w:val="008B6A2A"/>
    <w:rsid w:val="008F0DE9"/>
    <w:rsid w:val="008F45DA"/>
    <w:rsid w:val="008F7E39"/>
    <w:rsid w:val="00900ADB"/>
    <w:rsid w:val="0090297B"/>
    <w:rsid w:val="00912FA7"/>
    <w:rsid w:val="00933367"/>
    <w:rsid w:val="00933452"/>
    <w:rsid w:val="00936C8E"/>
    <w:rsid w:val="00937DB7"/>
    <w:rsid w:val="00940325"/>
    <w:rsid w:val="009524F0"/>
    <w:rsid w:val="00965637"/>
    <w:rsid w:val="00971579"/>
    <w:rsid w:val="009764D4"/>
    <w:rsid w:val="00983259"/>
    <w:rsid w:val="009867EF"/>
    <w:rsid w:val="00993657"/>
    <w:rsid w:val="009B1D38"/>
    <w:rsid w:val="009B58C2"/>
    <w:rsid w:val="009C0F11"/>
    <w:rsid w:val="009C546B"/>
    <w:rsid w:val="009C5C0B"/>
    <w:rsid w:val="009D18EC"/>
    <w:rsid w:val="009D7C91"/>
    <w:rsid w:val="009F3F44"/>
    <w:rsid w:val="00A0102E"/>
    <w:rsid w:val="00A01E5C"/>
    <w:rsid w:val="00A04AFF"/>
    <w:rsid w:val="00A16917"/>
    <w:rsid w:val="00A44289"/>
    <w:rsid w:val="00A4705D"/>
    <w:rsid w:val="00A52D9F"/>
    <w:rsid w:val="00A553B8"/>
    <w:rsid w:val="00A57748"/>
    <w:rsid w:val="00A60D78"/>
    <w:rsid w:val="00A62480"/>
    <w:rsid w:val="00A65E70"/>
    <w:rsid w:val="00A76D4A"/>
    <w:rsid w:val="00A850DE"/>
    <w:rsid w:val="00A908B2"/>
    <w:rsid w:val="00AB15A7"/>
    <w:rsid w:val="00AB29E4"/>
    <w:rsid w:val="00AB7726"/>
    <w:rsid w:val="00AC729C"/>
    <w:rsid w:val="00AD17FD"/>
    <w:rsid w:val="00AD381D"/>
    <w:rsid w:val="00AD3BFC"/>
    <w:rsid w:val="00AD51C3"/>
    <w:rsid w:val="00AF6811"/>
    <w:rsid w:val="00AF6827"/>
    <w:rsid w:val="00B05D77"/>
    <w:rsid w:val="00B101BA"/>
    <w:rsid w:val="00B11395"/>
    <w:rsid w:val="00B11D4A"/>
    <w:rsid w:val="00B14867"/>
    <w:rsid w:val="00B408D2"/>
    <w:rsid w:val="00B6294A"/>
    <w:rsid w:val="00B84B6C"/>
    <w:rsid w:val="00B90719"/>
    <w:rsid w:val="00B963D3"/>
    <w:rsid w:val="00B9762C"/>
    <w:rsid w:val="00B97A9F"/>
    <w:rsid w:val="00BC08AD"/>
    <w:rsid w:val="00BF0EC4"/>
    <w:rsid w:val="00BF1017"/>
    <w:rsid w:val="00BF38E3"/>
    <w:rsid w:val="00BF45A0"/>
    <w:rsid w:val="00C0082B"/>
    <w:rsid w:val="00C0268B"/>
    <w:rsid w:val="00C151B0"/>
    <w:rsid w:val="00C221A1"/>
    <w:rsid w:val="00C2480C"/>
    <w:rsid w:val="00C74C38"/>
    <w:rsid w:val="00C7525B"/>
    <w:rsid w:val="00C86EA6"/>
    <w:rsid w:val="00C97C68"/>
    <w:rsid w:val="00CA2651"/>
    <w:rsid w:val="00CF6544"/>
    <w:rsid w:val="00CF6FCB"/>
    <w:rsid w:val="00D06854"/>
    <w:rsid w:val="00D32E55"/>
    <w:rsid w:val="00D40841"/>
    <w:rsid w:val="00D41E2F"/>
    <w:rsid w:val="00D52D35"/>
    <w:rsid w:val="00D5635B"/>
    <w:rsid w:val="00D56F6E"/>
    <w:rsid w:val="00D62903"/>
    <w:rsid w:val="00D8642E"/>
    <w:rsid w:val="00D87AC0"/>
    <w:rsid w:val="00D90DB2"/>
    <w:rsid w:val="00D97054"/>
    <w:rsid w:val="00DA1005"/>
    <w:rsid w:val="00DA2A87"/>
    <w:rsid w:val="00DB388F"/>
    <w:rsid w:val="00DC1D23"/>
    <w:rsid w:val="00DC23C1"/>
    <w:rsid w:val="00DD6789"/>
    <w:rsid w:val="00DE4BFF"/>
    <w:rsid w:val="00E00CF7"/>
    <w:rsid w:val="00E05F65"/>
    <w:rsid w:val="00E10DF6"/>
    <w:rsid w:val="00E216A6"/>
    <w:rsid w:val="00E27D68"/>
    <w:rsid w:val="00E42132"/>
    <w:rsid w:val="00E464B0"/>
    <w:rsid w:val="00E52FB6"/>
    <w:rsid w:val="00E77544"/>
    <w:rsid w:val="00E83259"/>
    <w:rsid w:val="00E97D24"/>
    <w:rsid w:val="00EA7A18"/>
    <w:rsid w:val="00EB43FC"/>
    <w:rsid w:val="00EB53A3"/>
    <w:rsid w:val="00EB6B46"/>
    <w:rsid w:val="00EC507F"/>
    <w:rsid w:val="00EC50CE"/>
    <w:rsid w:val="00EE0179"/>
    <w:rsid w:val="00EE237F"/>
    <w:rsid w:val="00EE26D2"/>
    <w:rsid w:val="00EE5F21"/>
    <w:rsid w:val="00F10622"/>
    <w:rsid w:val="00F23393"/>
    <w:rsid w:val="00F2793F"/>
    <w:rsid w:val="00F37F25"/>
    <w:rsid w:val="00F55099"/>
    <w:rsid w:val="00F74587"/>
    <w:rsid w:val="00F82403"/>
    <w:rsid w:val="00F91EEE"/>
    <w:rsid w:val="00FA1B0D"/>
    <w:rsid w:val="00FA5348"/>
    <w:rsid w:val="00FB529B"/>
    <w:rsid w:val="00FD201D"/>
    <w:rsid w:val="00FE35CF"/>
    <w:rsid w:val="00FE7F3C"/>
    <w:rsid w:val="00FF11CD"/>
    <w:rsid w:val="01AC3A93"/>
    <w:rsid w:val="024C0DD3"/>
    <w:rsid w:val="043878BE"/>
    <w:rsid w:val="04C3537C"/>
    <w:rsid w:val="050F61DC"/>
    <w:rsid w:val="06230D18"/>
    <w:rsid w:val="063C53BF"/>
    <w:rsid w:val="06E51237"/>
    <w:rsid w:val="07034156"/>
    <w:rsid w:val="07350087"/>
    <w:rsid w:val="077568A8"/>
    <w:rsid w:val="08B51480"/>
    <w:rsid w:val="0A2B16C9"/>
    <w:rsid w:val="0A476B72"/>
    <w:rsid w:val="0A5847B8"/>
    <w:rsid w:val="0B043FF8"/>
    <w:rsid w:val="0B1C57E6"/>
    <w:rsid w:val="0C4E1270"/>
    <w:rsid w:val="0E9E4764"/>
    <w:rsid w:val="10C279F9"/>
    <w:rsid w:val="115C6507"/>
    <w:rsid w:val="11E3427F"/>
    <w:rsid w:val="153B0F7C"/>
    <w:rsid w:val="17471E3D"/>
    <w:rsid w:val="19320A2F"/>
    <w:rsid w:val="1A4A39F2"/>
    <w:rsid w:val="1BBE01F3"/>
    <w:rsid w:val="1C161DDD"/>
    <w:rsid w:val="1CEC0ACE"/>
    <w:rsid w:val="1D44056A"/>
    <w:rsid w:val="1E3511F3"/>
    <w:rsid w:val="1E514187"/>
    <w:rsid w:val="1F4629DA"/>
    <w:rsid w:val="1FE95BD7"/>
    <w:rsid w:val="242B219E"/>
    <w:rsid w:val="25FA4C2F"/>
    <w:rsid w:val="27E64D5A"/>
    <w:rsid w:val="28B05368"/>
    <w:rsid w:val="29F319B0"/>
    <w:rsid w:val="2AA8279A"/>
    <w:rsid w:val="2BEA6C61"/>
    <w:rsid w:val="2C976CC2"/>
    <w:rsid w:val="321626E0"/>
    <w:rsid w:val="322A48C8"/>
    <w:rsid w:val="355F15CA"/>
    <w:rsid w:val="3C495460"/>
    <w:rsid w:val="3D0811B6"/>
    <w:rsid w:val="3ED25829"/>
    <w:rsid w:val="41962EA3"/>
    <w:rsid w:val="48C93BB0"/>
    <w:rsid w:val="49600C3A"/>
    <w:rsid w:val="4A915542"/>
    <w:rsid w:val="4CBB5F06"/>
    <w:rsid w:val="4E756FBD"/>
    <w:rsid w:val="4E8851F8"/>
    <w:rsid w:val="500B145F"/>
    <w:rsid w:val="577B4C0F"/>
    <w:rsid w:val="57887068"/>
    <w:rsid w:val="5794601D"/>
    <w:rsid w:val="5CC13305"/>
    <w:rsid w:val="5E157EEA"/>
    <w:rsid w:val="622D2FAA"/>
    <w:rsid w:val="634467BA"/>
    <w:rsid w:val="63C60FC0"/>
    <w:rsid w:val="642B56B9"/>
    <w:rsid w:val="67DD45A8"/>
    <w:rsid w:val="6AAB4D53"/>
    <w:rsid w:val="6B2A452A"/>
    <w:rsid w:val="6D18622C"/>
    <w:rsid w:val="6EED1DF6"/>
    <w:rsid w:val="70E82BBF"/>
    <w:rsid w:val="710B095A"/>
    <w:rsid w:val="71B66B18"/>
    <w:rsid w:val="72895FDA"/>
    <w:rsid w:val="73222DE7"/>
    <w:rsid w:val="73E94994"/>
    <w:rsid w:val="7445464A"/>
    <w:rsid w:val="74850A24"/>
    <w:rsid w:val="74935903"/>
    <w:rsid w:val="76E3003A"/>
    <w:rsid w:val="771D6C13"/>
    <w:rsid w:val="79905023"/>
    <w:rsid w:val="7A71493B"/>
    <w:rsid w:val="7BC036E2"/>
    <w:rsid w:val="7E586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Body Text Indent"/>
    <w:basedOn w:val="1"/>
    <w:qFormat/>
    <w:uiPriority w:val="0"/>
    <w:pPr>
      <w:ind w:firstLine="456" w:firstLineChars="200"/>
    </w:pPr>
    <w:rPr>
      <w:rFonts w:ascii="宋体" w:hAnsi="宋体"/>
    </w:rPr>
  </w:style>
  <w:style w:type="paragraph" w:styleId="4">
    <w:name w:val="Plain Text"/>
    <w:basedOn w:val="1"/>
    <w:link w:val="16"/>
    <w:autoRedefine/>
    <w:qFormat/>
    <w:uiPriority w:val="0"/>
    <w:rPr>
      <w:rFonts w:ascii="宋体" w:hAnsi="Courier New"/>
      <w:szCs w:val="20"/>
    </w:rPr>
  </w:style>
  <w:style w:type="paragraph" w:styleId="5">
    <w:name w:val="Date"/>
    <w:basedOn w:val="1"/>
    <w:next w:val="1"/>
    <w:autoRedefine/>
    <w:qFormat/>
    <w:uiPriority w:val="0"/>
    <w:pPr>
      <w:ind w:left="100" w:leftChars="2500"/>
    </w:pPr>
  </w:style>
  <w:style w:type="paragraph" w:styleId="6">
    <w:name w:val="Balloon Text"/>
    <w:basedOn w:val="1"/>
    <w:link w:val="23"/>
    <w:autoRedefine/>
    <w:qFormat/>
    <w:uiPriority w:val="0"/>
    <w:rPr>
      <w:sz w:val="18"/>
      <w:szCs w:val="18"/>
    </w:rPr>
  </w:style>
  <w:style w:type="paragraph" w:styleId="7">
    <w:name w:val="footer"/>
    <w:basedOn w:val="1"/>
    <w:link w:val="19"/>
    <w:autoRedefine/>
    <w:qFormat/>
    <w:uiPriority w:val="99"/>
    <w:pPr>
      <w:tabs>
        <w:tab w:val="center" w:pos="4153"/>
        <w:tab w:val="right" w:pos="8306"/>
      </w:tabs>
      <w:snapToGrid w:val="0"/>
      <w:jc w:val="left"/>
    </w:pPr>
    <w:rPr>
      <w:sz w:val="18"/>
      <w:szCs w:val="18"/>
    </w:rPr>
  </w:style>
  <w:style w:type="paragraph" w:styleId="8">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widowControl/>
      <w:jc w:val="left"/>
    </w:pPr>
    <w:rPr>
      <w:rFonts w:ascii="宋体" w:hAnsi="宋体" w:cs="宋体"/>
      <w:kern w:val="0"/>
      <w:sz w:val="24"/>
    </w:rPr>
  </w:style>
  <w:style w:type="paragraph" w:styleId="10">
    <w:name w:val="annotation subject"/>
    <w:basedOn w:val="2"/>
    <w:next w:val="2"/>
    <w:link w:val="22"/>
    <w:autoRedefine/>
    <w:qFormat/>
    <w:uiPriority w:val="0"/>
    <w:rPr>
      <w:b/>
      <w:bCs/>
    </w:rPr>
  </w:style>
  <w:style w:type="character" w:styleId="13">
    <w:name w:val="page number"/>
    <w:basedOn w:val="12"/>
    <w:autoRedefine/>
    <w:qFormat/>
    <w:uiPriority w:val="0"/>
  </w:style>
  <w:style w:type="character" w:styleId="14">
    <w:name w:val="annotation reference"/>
    <w:basedOn w:val="12"/>
    <w:autoRedefine/>
    <w:qFormat/>
    <w:uiPriority w:val="0"/>
    <w:rPr>
      <w:sz w:val="21"/>
      <w:szCs w:val="21"/>
    </w:rPr>
  </w:style>
  <w:style w:type="character" w:customStyle="1" w:styleId="15">
    <w:name w:val="页眉 Char"/>
    <w:link w:val="8"/>
    <w:autoRedefine/>
    <w:qFormat/>
    <w:uiPriority w:val="0"/>
    <w:rPr>
      <w:rFonts w:eastAsia="宋体"/>
      <w:kern w:val="2"/>
      <w:sz w:val="18"/>
      <w:szCs w:val="18"/>
      <w:lang w:val="en-US" w:eastAsia="zh-CN" w:bidi="ar-SA"/>
    </w:rPr>
  </w:style>
  <w:style w:type="character" w:customStyle="1" w:styleId="16">
    <w:name w:val="纯文本 Char"/>
    <w:link w:val="4"/>
    <w:autoRedefine/>
    <w:qFormat/>
    <w:uiPriority w:val="0"/>
    <w:rPr>
      <w:rFonts w:ascii="宋体" w:hAnsi="Courier New" w:eastAsia="宋体"/>
      <w:kern w:val="2"/>
      <w:sz w:val="21"/>
      <w:lang w:val="en-US" w:eastAsia="zh-CN" w:bidi="ar-SA"/>
    </w:rPr>
  </w:style>
  <w:style w:type="paragraph" w:customStyle="1" w:styleId="17">
    <w:name w:val="ordinary-output target-output"/>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8">
    <w:name w:val="high-light-bg4"/>
    <w:basedOn w:val="12"/>
    <w:autoRedefine/>
    <w:qFormat/>
    <w:uiPriority w:val="0"/>
  </w:style>
  <w:style w:type="character" w:customStyle="1" w:styleId="19">
    <w:name w:val="页脚 Char"/>
    <w:link w:val="7"/>
    <w:autoRedefine/>
    <w:qFormat/>
    <w:uiPriority w:val="99"/>
    <w:rPr>
      <w:kern w:val="2"/>
      <w:sz w:val="18"/>
      <w:szCs w:val="18"/>
    </w:rPr>
  </w:style>
  <w:style w:type="paragraph" w:customStyle="1" w:styleId="20">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21">
    <w:name w:val="批注文字 Char"/>
    <w:basedOn w:val="12"/>
    <w:link w:val="2"/>
    <w:autoRedefine/>
    <w:qFormat/>
    <w:uiPriority w:val="0"/>
    <w:rPr>
      <w:kern w:val="2"/>
      <w:sz w:val="21"/>
      <w:szCs w:val="24"/>
    </w:rPr>
  </w:style>
  <w:style w:type="character" w:customStyle="1" w:styleId="22">
    <w:name w:val="批注主题 Char"/>
    <w:basedOn w:val="21"/>
    <w:link w:val="10"/>
    <w:autoRedefine/>
    <w:qFormat/>
    <w:uiPriority w:val="0"/>
    <w:rPr>
      <w:b/>
      <w:bCs/>
      <w:kern w:val="2"/>
      <w:sz w:val="21"/>
      <w:szCs w:val="24"/>
    </w:rPr>
  </w:style>
  <w:style w:type="character" w:customStyle="1" w:styleId="23">
    <w:name w:val="批注框文本 Char"/>
    <w:basedOn w:val="12"/>
    <w:link w:val="6"/>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7</Pages>
  <Words>3529</Words>
  <Characters>809</Characters>
  <Lines>6</Lines>
  <Paragraphs>8</Paragraphs>
  <TotalTime>0</TotalTime>
  <ScaleCrop>false</ScaleCrop>
  <LinksUpToDate>false</LinksUpToDate>
  <CharactersWithSpaces>4330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2019-06-26T09:00:00Z</dcterms:created>
  <dc:creator>王秋生</dc:creator>
  <cp:lastModifiedBy>Administrator</cp:lastModifiedBy>
  <cp:lastPrinted>2024-03-21T07:45:00Z</cp:lastPrinted>
  <dcterms:modified xsi:type="dcterms:W3CDTF">2024-03-26T08:49:09Z</dcterms:modified>
  <dc:title>关于修订教学大纲、见、实习大纲文字格式要求</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E561A9FC110C4D39A226DDAA3FE4C8BA_13</vt:lpwstr>
  </property>
</Properties>
</file>