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sz w:val="28"/>
        </w:rPr>
      </w:pPr>
      <w:r>
        <w:rPr>
          <w:rFonts w:hint="eastAsia" w:ascii="宋体" w:hAnsi="宋体"/>
          <w:b/>
          <w:sz w:val="28"/>
          <w:u w:val="single"/>
        </w:rPr>
        <w:t>__天然药物化学__</w:t>
      </w:r>
      <w:r>
        <w:rPr>
          <w:rFonts w:hint="eastAsia"/>
          <w:b/>
          <w:sz w:val="28"/>
        </w:rPr>
        <w:t>课程指南</w:t>
      </w:r>
    </w:p>
    <w:p>
      <w:pPr>
        <w:spacing w:line="360" w:lineRule="auto"/>
        <w:jc w:val="center"/>
        <w:rPr>
          <w:b/>
          <w:sz w:val="28"/>
        </w:rPr>
      </w:pPr>
    </w:p>
    <w:p>
      <w:pPr>
        <w:spacing w:line="360" w:lineRule="auto"/>
        <w:ind w:firstLine="408"/>
        <w:rPr>
          <w:szCs w:val="21"/>
        </w:rPr>
      </w:pPr>
      <w:r>
        <w:rPr>
          <w:rFonts w:hint="eastAsia"/>
          <w:b/>
          <w:szCs w:val="21"/>
        </w:rPr>
        <w:t>一、课程信息课程编号：</w:t>
      </w:r>
      <w:r>
        <w:rPr>
          <w:szCs w:val="21"/>
        </w:rPr>
        <w:t>1906003001</w:t>
      </w:r>
      <w:r>
        <w:rPr>
          <w:rFonts w:hint="eastAsia"/>
          <w:b/>
          <w:szCs w:val="21"/>
        </w:rPr>
        <w:t>中文：</w:t>
      </w:r>
      <w:r>
        <w:rPr>
          <w:rFonts w:hint="eastAsia"/>
          <w:color w:val="0D0D0D"/>
          <w:szCs w:val="21"/>
        </w:rPr>
        <w:t>天然药物化学</w:t>
      </w:r>
    </w:p>
    <w:p>
      <w:pPr>
        <w:spacing w:line="360" w:lineRule="auto"/>
        <w:ind w:firstLine="2087" w:firstLineChars="990"/>
      </w:pPr>
      <w:r>
        <w:rPr>
          <w:rFonts w:hint="eastAsia"/>
          <w:b/>
          <w:szCs w:val="21"/>
        </w:rPr>
        <w:t>英文：</w:t>
      </w:r>
      <w:r>
        <w:t>Medicinal Chemistry ofNatural Products</w:t>
      </w:r>
    </w:p>
    <w:p>
      <w:pPr>
        <w:spacing w:line="360" w:lineRule="auto"/>
        <w:rPr>
          <w:szCs w:val="21"/>
        </w:rPr>
      </w:pPr>
      <w:r>
        <w:rPr>
          <w:rFonts w:hint="eastAsia"/>
          <w:b/>
          <w:szCs w:val="21"/>
        </w:rPr>
        <w:t>二、开课学院（系）、</w:t>
      </w:r>
      <w:r>
        <w:rPr>
          <w:rFonts w:hint="eastAsia"/>
          <w:b/>
        </w:rPr>
        <w:t>系（教研室）</w:t>
      </w:r>
      <w:r>
        <w:rPr>
          <w:rFonts w:hint="eastAsia"/>
          <w:b/>
          <w:szCs w:val="21"/>
        </w:rPr>
        <w:t>：</w:t>
      </w:r>
      <w:r>
        <w:rPr>
          <w:rFonts w:hint="eastAsia"/>
          <w:szCs w:val="21"/>
        </w:rPr>
        <w:t>药学院天然药物化学教研室</w:t>
      </w:r>
    </w:p>
    <w:p>
      <w:pPr>
        <w:spacing w:line="360" w:lineRule="auto"/>
        <w:rPr>
          <w:b/>
        </w:rPr>
      </w:pPr>
      <w:r>
        <w:rPr>
          <w:rFonts w:hint="eastAsia"/>
          <w:b/>
          <w:szCs w:val="21"/>
        </w:rPr>
        <w:t>三、学时学分：</w:t>
      </w:r>
      <w:r>
        <w:rPr>
          <w:rFonts w:hint="eastAsia"/>
          <w:b/>
        </w:rPr>
        <w:t>学分：</w:t>
      </w:r>
      <w:r>
        <w:rPr>
          <w:rFonts w:hint="eastAsia"/>
          <w:b/>
          <w:color w:val="0D0D0D"/>
        </w:rPr>
        <w:t>3</w:t>
      </w:r>
      <w:r>
        <w:rPr>
          <w:rFonts w:hint="eastAsia"/>
          <w:b/>
        </w:rPr>
        <w:t>；总学时：54；理论学时：54</w:t>
      </w:r>
      <w:r>
        <w:rPr>
          <w:rFonts w:hint="eastAsia"/>
          <w:b/>
          <w:lang w:eastAsia="zh-CN"/>
        </w:rPr>
        <w:t>（含</w:t>
      </w:r>
      <w:r>
        <w:rPr>
          <w:b/>
        </w:rPr>
        <w:t>自主学习学时：</w:t>
      </w:r>
      <w:r>
        <w:rPr>
          <w:rFonts w:hint="eastAsia"/>
          <w:b/>
        </w:rPr>
        <w:t>2学时</w:t>
      </w:r>
    </w:p>
    <w:p>
      <w:pPr>
        <w:spacing w:line="360" w:lineRule="auto"/>
        <w:rPr>
          <w:b/>
        </w:rPr>
      </w:pPr>
      <w:r>
        <w:rPr>
          <w:rFonts w:hint="eastAsia"/>
          <w:b/>
          <w:lang w:eastAsia="zh-CN"/>
        </w:rPr>
        <w:t>）</w:t>
      </w:r>
      <w:r>
        <w:rPr>
          <w:rFonts w:hint="eastAsia"/>
          <w:b/>
        </w:rPr>
        <w:t>；实验或实践学时：0</w:t>
      </w:r>
      <w:bookmarkStart w:id="1" w:name="_GoBack"/>
      <w:bookmarkEnd w:id="1"/>
    </w:p>
    <w:p>
      <w:pPr>
        <w:spacing w:line="360" w:lineRule="auto"/>
        <w:rPr>
          <w:szCs w:val="21"/>
        </w:rPr>
      </w:pPr>
      <w:r>
        <w:rPr>
          <w:rFonts w:hint="eastAsia"/>
          <w:b/>
          <w:szCs w:val="21"/>
        </w:rPr>
        <w:t>四、</w:t>
      </w:r>
      <w:r>
        <w:rPr>
          <w:rFonts w:hint="eastAsia"/>
          <w:b/>
        </w:rPr>
        <w:t>授课对象：</w:t>
      </w:r>
      <w:r>
        <w:rPr>
          <w:rFonts w:hint="eastAsia" w:ascii="宋体" w:hAnsi="宋体"/>
        </w:rPr>
        <w:t>药学、药物制剂专业</w:t>
      </w:r>
    </w:p>
    <w:p>
      <w:pPr>
        <w:spacing w:line="360" w:lineRule="auto"/>
        <w:rPr>
          <w:b/>
          <w:szCs w:val="21"/>
        </w:rPr>
      </w:pPr>
      <w:r>
        <w:rPr>
          <w:rFonts w:hint="eastAsia"/>
          <w:b/>
          <w:szCs w:val="21"/>
        </w:rPr>
        <w:t>五、课程基本内容简介：</w:t>
      </w:r>
    </w:p>
    <w:p>
      <w:pPr>
        <w:adjustRightInd w:val="0"/>
        <w:snapToGrid w:val="0"/>
        <w:spacing w:line="360" w:lineRule="auto"/>
        <w:ind w:firstLine="420" w:firstLineChars="200"/>
        <w:rPr>
          <w:rFonts w:ascii="宋体" w:hAnsi="宋体"/>
        </w:rPr>
      </w:pPr>
      <w:r>
        <w:rPr>
          <w:rFonts w:hint="eastAsia" w:ascii="宋体"/>
          <w:szCs w:val="21"/>
        </w:rPr>
        <w:t>在有机化学、分析化学及有机化合物波谱解析学等课程的基础上，</w:t>
      </w:r>
      <w:r>
        <w:rPr>
          <w:rFonts w:hint="eastAsia" w:ascii="宋体" w:hAnsi="宋体"/>
        </w:rPr>
        <w:t>天然药物化学</w:t>
      </w:r>
      <w:r>
        <w:rPr>
          <w:rFonts w:hint="eastAsia" w:ascii="宋体"/>
          <w:szCs w:val="21"/>
        </w:rPr>
        <w:t>着重围绕天然药物有效成分的结构特点、理化性质、提取分离方法与结构测定的基本原理和基本技能教学。</w:t>
      </w:r>
    </w:p>
    <w:p>
      <w:pPr>
        <w:adjustRightInd w:val="0"/>
        <w:snapToGrid w:val="0"/>
        <w:spacing w:line="360" w:lineRule="auto"/>
        <w:ind w:firstLine="411" w:firstLineChars="196"/>
        <w:rPr>
          <w:rFonts w:ascii="宋体" w:hAnsi="宋体"/>
        </w:rPr>
      </w:pPr>
      <w:r>
        <w:rPr>
          <w:rFonts w:hint="eastAsia" w:ascii="宋体" w:hAnsi="宋体"/>
        </w:rPr>
        <w:t>总论部分介绍了天然药物中有效成分的生物代谢途径、提取分离以及结构研究的方法与步骤，以及各类分离材料的特点及其分离化合物的基本原理和影响因素；各论部分介绍了糖苷、苯丙素类、醌类、黄酮、萜类、皂苷、生物碱、海洋生物成分、微生物代谢产物等有效成分的结构特点、理化性质、提取分离及结构测定方法，在本书最后介绍了天然药物研究的方法与程序。</w:t>
      </w:r>
    </w:p>
    <w:p>
      <w:pPr>
        <w:spacing w:line="360" w:lineRule="auto"/>
        <w:ind w:firstLine="420" w:firstLineChars="200"/>
        <w:rPr>
          <w:szCs w:val="21"/>
        </w:rPr>
      </w:pPr>
      <w:r>
        <w:rPr>
          <w:rFonts w:hint="eastAsia" w:ascii="宋体" w:hAnsi="宋体"/>
        </w:rPr>
        <w:t>在该课程的教学过程中，其基本理论知识除了天然药物各类成分的结构特点与性质外，还涉及到天然药物化学成分提取的方法：如煎煮法、浸渍法、渗漉法、回流法、连续回流法、超临界萃取法、超声法、水蒸气蒸馏法等提取法；同时应用离子交换色谱、硅胶色谱、氧化铝色谱、大孔吸附树脂色谱、聚酰胺色谱等多种分离方法；在中药有效成分的结构测定中应用</w:t>
      </w:r>
      <w:r>
        <w:rPr>
          <w:rFonts w:hAnsi="宋体"/>
        </w:rPr>
        <w:t>紫外光谱（</w:t>
      </w:r>
      <w:r>
        <w:t>UV</w:t>
      </w:r>
      <w:r>
        <w:rPr>
          <w:rFonts w:hAnsi="宋体"/>
        </w:rPr>
        <w:t>）、红外光谱（</w:t>
      </w:r>
      <w:r>
        <w:t>IR</w:t>
      </w:r>
      <w:r>
        <w:rPr>
          <w:rFonts w:hAnsi="宋体"/>
        </w:rPr>
        <w:t>）、质谱（</w:t>
      </w:r>
      <w:r>
        <w:t>MS</w:t>
      </w:r>
      <w:r>
        <w:rPr>
          <w:rFonts w:hAnsi="宋体"/>
        </w:rPr>
        <w:t>）、氢核磁共振（</w:t>
      </w:r>
      <w:r>
        <w:rPr>
          <w:vertAlign w:val="superscript"/>
        </w:rPr>
        <w:t>1</w:t>
      </w:r>
      <w:r>
        <w:t>H-NMR</w:t>
      </w:r>
      <w:r>
        <w:rPr>
          <w:rFonts w:hAnsi="宋体"/>
        </w:rPr>
        <w:t>）、碳核磁共振（</w:t>
      </w:r>
      <w:r>
        <w:rPr>
          <w:vertAlign w:val="superscript"/>
        </w:rPr>
        <w:t>13</w:t>
      </w:r>
      <w:r>
        <w:t>C-NMR</w:t>
      </w:r>
      <w:r>
        <w:rPr>
          <w:rFonts w:hAnsi="宋体"/>
        </w:rPr>
        <w:t>）</w:t>
      </w:r>
      <w:r>
        <w:rPr>
          <w:rFonts w:hint="eastAsia" w:ascii="宋体" w:hAnsi="宋体"/>
        </w:rPr>
        <w:t>等光谱检测手段。</w:t>
      </w:r>
    </w:p>
    <w:p>
      <w:pPr>
        <w:spacing w:line="360" w:lineRule="auto"/>
        <w:rPr>
          <w:b/>
          <w:szCs w:val="21"/>
        </w:rPr>
      </w:pPr>
      <w:r>
        <w:rPr>
          <w:rFonts w:hint="eastAsia"/>
          <w:b/>
          <w:szCs w:val="21"/>
        </w:rPr>
        <w:t>六、</w:t>
      </w:r>
      <w:r>
        <w:rPr>
          <w:rFonts w:hint="eastAsia"/>
          <w:b/>
        </w:rPr>
        <w:t>教学目标</w:t>
      </w:r>
    </w:p>
    <w:p>
      <w:pPr>
        <w:spacing w:line="360" w:lineRule="auto"/>
        <w:rPr>
          <w:b/>
          <w:szCs w:val="21"/>
        </w:rPr>
      </w:pPr>
      <w:r>
        <w:rPr>
          <w:rFonts w:hint="eastAsia"/>
          <w:b/>
          <w:szCs w:val="21"/>
        </w:rPr>
        <w:t xml:space="preserve">    1.知识目标</w:t>
      </w:r>
    </w:p>
    <w:p>
      <w:pPr>
        <w:spacing w:line="360" w:lineRule="auto"/>
        <w:ind w:firstLine="420" w:firstLineChars="200"/>
        <w:rPr>
          <w:b/>
          <w:szCs w:val="21"/>
        </w:rPr>
      </w:pPr>
      <w:r>
        <w:rPr>
          <w:rFonts w:hint="eastAsia" w:ascii="宋体" w:hAnsi="宋体"/>
        </w:rPr>
        <w:t>通过天然药物化学课程的学习使药学专业与药剂专业学生熟悉天然药物中有效成分的结构特点与类型；掌握各类有效成分的理化性质、提取分离以及鉴定方法；熟悉天然药物中典型有效成分的结构测定方法，了解植物二次代谢产物的生物合成途径。</w:t>
      </w:r>
    </w:p>
    <w:p>
      <w:pPr>
        <w:spacing w:line="360" w:lineRule="auto"/>
        <w:rPr>
          <w:b/>
          <w:szCs w:val="21"/>
        </w:rPr>
      </w:pPr>
      <w:r>
        <w:rPr>
          <w:rFonts w:hint="eastAsia"/>
          <w:b/>
          <w:szCs w:val="21"/>
        </w:rPr>
        <w:t xml:space="preserve">    2.技能目标</w:t>
      </w:r>
    </w:p>
    <w:p>
      <w:pPr>
        <w:spacing w:line="360" w:lineRule="auto"/>
        <w:ind w:firstLine="420" w:firstLineChars="200"/>
        <w:rPr>
          <w:b/>
          <w:szCs w:val="21"/>
        </w:rPr>
      </w:pPr>
      <w:r>
        <w:rPr>
          <w:rFonts w:hint="eastAsia" w:ascii="宋体" w:hAnsi="宋体"/>
        </w:rPr>
        <w:t>培养学生具有初步从事天然药物的研发和生产能力。</w:t>
      </w:r>
    </w:p>
    <w:p>
      <w:pPr>
        <w:spacing w:line="360" w:lineRule="auto"/>
        <w:rPr>
          <w:szCs w:val="21"/>
        </w:rPr>
      </w:pPr>
      <w:r>
        <w:rPr>
          <w:rFonts w:hint="eastAsia"/>
          <w:b/>
          <w:szCs w:val="21"/>
        </w:rPr>
        <w:t xml:space="preserve">  3.思政目标</w:t>
      </w:r>
    </w:p>
    <w:tbl>
      <w:tblPr>
        <w:tblStyle w:val="9"/>
        <w:tblpPr w:leftFromText="180" w:rightFromText="180" w:vertAnchor="text" w:tblpXSpec="center" w:tblpY="1"/>
        <w:tblOverlap w:val="never"/>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559"/>
        <w:gridCol w:w="1701"/>
        <w:gridCol w:w="2127"/>
        <w:gridCol w:w="2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pacing w:line="288" w:lineRule="auto"/>
              <w:jc w:val="center"/>
              <w:rPr>
                <w:b/>
              </w:rPr>
            </w:pPr>
            <w:r>
              <w:rPr>
                <w:rFonts w:hint="eastAsia"/>
                <w:b/>
              </w:rPr>
              <w:t>序号</w:t>
            </w:r>
          </w:p>
        </w:tc>
        <w:tc>
          <w:tcPr>
            <w:tcW w:w="1559" w:type="dxa"/>
          </w:tcPr>
          <w:p>
            <w:pPr>
              <w:spacing w:line="288" w:lineRule="auto"/>
              <w:jc w:val="center"/>
              <w:rPr>
                <w:b/>
              </w:rPr>
            </w:pPr>
            <w:r>
              <w:rPr>
                <w:rFonts w:hint="eastAsia"/>
                <w:b/>
              </w:rPr>
              <w:t>融入章节</w:t>
            </w:r>
          </w:p>
        </w:tc>
        <w:tc>
          <w:tcPr>
            <w:tcW w:w="1701" w:type="dxa"/>
          </w:tcPr>
          <w:p>
            <w:pPr>
              <w:spacing w:line="288" w:lineRule="auto"/>
              <w:jc w:val="center"/>
              <w:rPr>
                <w:b/>
              </w:rPr>
            </w:pPr>
            <w:r>
              <w:rPr>
                <w:rFonts w:hint="eastAsia"/>
                <w:b/>
              </w:rPr>
              <w:t>融入专业知识点</w:t>
            </w:r>
          </w:p>
        </w:tc>
        <w:tc>
          <w:tcPr>
            <w:tcW w:w="2127" w:type="dxa"/>
          </w:tcPr>
          <w:p>
            <w:pPr>
              <w:spacing w:line="288" w:lineRule="auto"/>
              <w:jc w:val="center"/>
              <w:rPr>
                <w:b/>
              </w:rPr>
            </w:pPr>
            <w:r>
              <w:rPr>
                <w:rFonts w:hint="eastAsia"/>
                <w:b/>
              </w:rPr>
              <w:t>思政元素点</w:t>
            </w:r>
          </w:p>
        </w:tc>
        <w:tc>
          <w:tcPr>
            <w:tcW w:w="2551" w:type="dxa"/>
          </w:tcPr>
          <w:p>
            <w:pPr>
              <w:spacing w:line="288" w:lineRule="auto"/>
              <w:jc w:val="center"/>
              <w:rPr>
                <w:b/>
              </w:rPr>
            </w:pPr>
            <w:r>
              <w:rPr>
                <w:rFonts w:hint="eastAsia"/>
                <w:b/>
              </w:rPr>
              <w:t>思政目标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bookmarkStart w:id="0" w:name="_Hlk161124711"/>
            <w:r>
              <w:rPr>
                <w:rFonts w:hint="eastAsia"/>
                <w:b/>
              </w:rPr>
              <w:t>1</w:t>
            </w:r>
          </w:p>
        </w:tc>
        <w:tc>
          <w:tcPr>
            <w:tcW w:w="1559" w:type="dxa"/>
            <w:vAlign w:val="center"/>
          </w:tcPr>
          <w:p>
            <w:pPr>
              <w:spacing w:line="288" w:lineRule="auto"/>
              <w:jc w:val="center"/>
              <w:rPr>
                <w:rFonts w:ascii="宋体" w:hAnsi="宋体"/>
                <w:szCs w:val="21"/>
              </w:rPr>
            </w:pPr>
            <w:r>
              <w:rPr>
                <w:rFonts w:hint="eastAsia" w:ascii="宋体" w:hAnsi="宋体"/>
                <w:szCs w:val="21"/>
              </w:rPr>
              <w:t>总论</w:t>
            </w:r>
          </w:p>
        </w:tc>
        <w:tc>
          <w:tcPr>
            <w:tcW w:w="1701" w:type="dxa"/>
            <w:vAlign w:val="center"/>
          </w:tcPr>
          <w:p>
            <w:pPr>
              <w:spacing w:line="288" w:lineRule="auto"/>
              <w:jc w:val="center"/>
              <w:rPr>
                <w:b/>
              </w:rPr>
            </w:pPr>
            <w:r>
              <w:rPr>
                <w:rFonts w:hint="eastAsia"/>
                <w:szCs w:val="21"/>
              </w:rPr>
              <w:t>天然药物化学的发展简史</w:t>
            </w:r>
          </w:p>
        </w:tc>
        <w:tc>
          <w:tcPr>
            <w:tcW w:w="2127" w:type="dxa"/>
            <w:vAlign w:val="center"/>
          </w:tcPr>
          <w:p>
            <w:pPr>
              <w:spacing w:line="288" w:lineRule="auto"/>
              <w:rPr>
                <w:b/>
              </w:rPr>
            </w:pPr>
            <w:r>
              <w:rPr>
                <w:rFonts w:hint="eastAsia"/>
              </w:rPr>
              <w:t>立足中医药特色，将中医药优秀传统文化、社会主义核心价值观和做人做事的道理融入专业课教学。</w:t>
            </w:r>
          </w:p>
        </w:tc>
        <w:tc>
          <w:tcPr>
            <w:tcW w:w="2551" w:type="dxa"/>
            <w:vAlign w:val="center"/>
          </w:tcPr>
          <w:p>
            <w:pPr>
              <w:spacing w:line="288" w:lineRule="auto"/>
              <w:rPr>
                <w:b/>
              </w:rPr>
            </w:pPr>
            <w:r>
              <w:rPr>
                <w:rFonts w:hint="eastAsia"/>
              </w:rPr>
              <w:t>以《天然药物化学》课程为专业背景和载体，激发学生对祖国中医药事业的热爱，培养学生的科学精神和责任意识，引导学生树立正确的职业素养和职业道德，进而树立正确的人生观和价值观。</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2</w:t>
            </w:r>
          </w:p>
        </w:tc>
        <w:tc>
          <w:tcPr>
            <w:tcW w:w="1559" w:type="dxa"/>
            <w:vAlign w:val="center"/>
          </w:tcPr>
          <w:p>
            <w:pPr>
              <w:spacing w:line="288" w:lineRule="auto"/>
              <w:jc w:val="center"/>
              <w:rPr>
                <w:rFonts w:ascii="宋体" w:hAnsi="宋体"/>
                <w:szCs w:val="21"/>
              </w:rPr>
            </w:pPr>
            <w:r>
              <w:rPr>
                <w:rFonts w:hint="eastAsia" w:ascii="宋体" w:hAnsi="宋体"/>
                <w:szCs w:val="21"/>
              </w:rPr>
              <w:t>黄酮类化合物</w:t>
            </w:r>
          </w:p>
        </w:tc>
        <w:tc>
          <w:tcPr>
            <w:tcW w:w="1701" w:type="dxa"/>
            <w:vAlign w:val="center"/>
          </w:tcPr>
          <w:p>
            <w:pPr>
              <w:spacing w:line="288" w:lineRule="auto"/>
              <w:jc w:val="center"/>
              <w:rPr>
                <w:szCs w:val="21"/>
              </w:rPr>
            </w:pPr>
            <w:r>
              <w:rPr>
                <w:rFonts w:hint="eastAsia"/>
                <w:szCs w:val="21"/>
              </w:rPr>
              <w:t>结构类型</w:t>
            </w:r>
          </w:p>
        </w:tc>
        <w:tc>
          <w:tcPr>
            <w:tcW w:w="2127" w:type="dxa"/>
            <w:vAlign w:val="center"/>
          </w:tcPr>
          <w:p>
            <w:pPr>
              <w:spacing w:line="288" w:lineRule="auto"/>
            </w:pPr>
            <w:r>
              <w:t>以二氢查耳酮类化合物</w:t>
            </w:r>
            <w:r>
              <w:rPr>
                <w:rFonts w:ascii="Arial" w:hAnsi="Arial" w:cs="Arial"/>
                <w:shd w:val="clear" w:color="auto" w:fill="FFFFFF"/>
              </w:rPr>
              <w:t>根皮苷为先导化合物研究开发了一系列</w:t>
            </w:r>
            <w:r>
              <w:t>具有心肾保护作用的</w:t>
            </w:r>
            <w:r>
              <w:rPr>
                <w:rFonts w:ascii="Arial" w:hAnsi="Arial" w:cs="Arial"/>
                <w:shd w:val="clear" w:color="auto" w:fill="FFFFFF"/>
              </w:rPr>
              <w:t>格列净类降血糖药物，临床用于治疗2型糖尿病，是以天然活性产物为先导化合物研究成功的范例。</w:t>
            </w:r>
          </w:p>
        </w:tc>
        <w:tc>
          <w:tcPr>
            <w:tcW w:w="2551" w:type="dxa"/>
            <w:vAlign w:val="center"/>
          </w:tcPr>
          <w:p>
            <w:pPr>
              <w:spacing w:line="288" w:lineRule="auto"/>
            </w:pPr>
            <w:r>
              <w:t>中医药学是中华文明的瑰宝，</w:t>
            </w:r>
            <w:r>
              <w:rPr>
                <w:rFonts w:hint="eastAsia"/>
              </w:rPr>
              <w:t>应</w:t>
            </w:r>
            <w:r>
              <w:t>传承创新发展中医药。传承精华、守正创新，培养具有“新药梦”的一流药学人才。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b/>
              </w:rPr>
              <w:t>3</w:t>
            </w:r>
          </w:p>
        </w:tc>
        <w:tc>
          <w:tcPr>
            <w:tcW w:w="1559" w:type="dxa"/>
            <w:vAlign w:val="center"/>
          </w:tcPr>
          <w:p>
            <w:pPr>
              <w:spacing w:line="288" w:lineRule="auto"/>
              <w:jc w:val="center"/>
              <w:rPr>
                <w:rFonts w:ascii="宋体" w:hAnsi="宋体"/>
                <w:szCs w:val="21"/>
              </w:rPr>
            </w:pPr>
            <w:r>
              <w:rPr>
                <w:rFonts w:hint="eastAsia" w:ascii="宋体" w:hAnsi="宋体"/>
                <w:szCs w:val="21"/>
              </w:rPr>
              <w:t>萜与挥发油</w:t>
            </w:r>
          </w:p>
        </w:tc>
        <w:tc>
          <w:tcPr>
            <w:tcW w:w="1701" w:type="dxa"/>
            <w:vAlign w:val="center"/>
          </w:tcPr>
          <w:p>
            <w:pPr>
              <w:spacing w:line="288" w:lineRule="auto"/>
              <w:jc w:val="center"/>
              <w:rPr>
                <w:b/>
              </w:rPr>
            </w:pPr>
            <w:r>
              <w:rPr>
                <w:rFonts w:hint="eastAsia"/>
                <w:szCs w:val="21"/>
              </w:rPr>
              <w:t>倍半萜</w:t>
            </w:r>
          </w:p>
        </w:tc>
        <w:tc>
          <w:tcPr>
            <w:tcW w:w="2127" w:type="dxa"/>
            <w:vAlign w:val="center"/>
          </w:tcPr>
          <w:p>
            <w:pPr>
              <w:spacing w:line="288" w:lineRule="auto"/>
              <w:rPr>
                <w:b/>
              </w:rPr>
            </w:pPr>
            <w:r>
              <w:rPr>
                <w:rFonts w:hint="eastAsia"/>
              </w:rPr>
              <w:t>以诺奖得主屠呦呦与抗恶性疟疾的先导化合物青蒿素发现的故事为切入点，聚焦“勇于探索的科学精神和爱岗敬业的责任意识”。</w:t>
            </w:r>
          </w:p>
        </w:tc>
        <w:tc>
          <w:tcPr>
            <w:tcW w:w="2551" w:type="dxa"/>
            <w:vAlign w:val="center"/>
          </w:tcPr>
          <w:p>
            <w:pPr>
              <w:spacing w:line="288" w:lineRule="auto"/>
            </w:pPr>
            <w:r>
              <w:rPr>
                <w:rFonts w:hint="eastAsia"/>
              </w:rPr>
              <w:t>传授专业知识的同时，培养学生勇于探索的科学精神和爱岗敬业的责任意识。以老一辈科学家实事求是、刻苦钻研、艰苦奋斗、百折不挠的精神，激励同学们努力学习，立志为祖国的中医药事业发展做出贡献。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rFonts w:hint="eastAsia"/>
                <w:b/>
              </w:rPr>
              <w:t>4</w:t>
            </w:r>
          </w:p>
        </w:tc>
        <w:tc>
          <w:tcPr>
            <w:tcW w:w="1559" w:type="dxa"/>
            <w:vAlign w:val="center"/>
          </w:tcPr>
          <w:p>
            <w:pPr>
              <w:spacing w:line="288" w:lineRule="auto"/>
              <w:jc w:val="center"/>
              <w:rPr>
                <w:rFonts w:ascii="宋体" w:hAnsi="宋体"/>
                <w:szCs w:val="21"/>
              </w:rPr>
            </w:pPr>
            <w:r>
              <w:rPr>
                <w:rFonts w:hint="eastAsia" w:ascii="宋体" w:hAnsi="宋体"/>
                <w:szCs w:val="21"/>
              </w:rPr>
              <w:t>甾体及其苷类</w:t>
            </w:r>
          </w:p>
        </w:tc>
        <w:tc>
          <w:tcPr>
            <w:tcW w:w="1701" w:type="dxa"/>
            <w:vAlign w:val="center"/>
          </w:tcPr>
          <w:p>
            <w:pPr>
              <w:spacing w:line="288" w:lineRule="auto"/>
              <w:jc w:val="center"/>
              <w:rPr>
                <w:szCs w:val="21"/>
              </w:rPr>
            </w:pPr>
            <w:r>
              <w:rPr>
                <w:rFonts w:hint="eastAsia"/>
                <w:szCs w:val="21"/>
              </w:rPr>
              <w:t>甾体皂苷</w:t>
            </w:r>
          </w:p>
        </w:tc>
        <w:tc>
          <w:tcPr>
            <w:tcW w:w="2127" w:type="dxa"/>
            <w:vAlign w:val="center"/>
          </w:tcPr>
          <w:p>
            <w:r>
              <w:rPr>
                <w:rFonts w:hint="eastAsia"/>
              </w:rPr>
              <w:t>以我国甾体类化学成分的研究为切入点，聚焦“我国甾体类化学成分研究由无到有，由弱到强的历程，介绍老一辈药学家为了我国医药卫生事业的发展而奋斗的精神”。</w:t>
            </w:r>
          </w:p>
        </w:tc>
        <w:tc>
          <w:tcPr>
            <w:tcW w:w="2551" w:type="dxa"/>
            <w:vAlign w:val="center"/>
          </w:tcPr>
          <w:p>
            <w:r>
              <w:rPr>
                <w:rFonts w:hint="eastAsia"/>
              </w:rPr>
              <w:t>培养学生科学家精神，学习老一辈科学家树立远大理想，胸怀祖国勇攀高峰的精神，激励学生为我国医药卫生事业的发展而奋斗。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pacing w:line="288" w:lineRule="auto"/>
              <w:jc w:val="center"/>
              <w:rPr>
                <w:b/>
              </w:rPr>
            </w:pPr>
            <w:r>
              <w:rPr>
                <w:b/>
              </w:rPr>
              <w:t>5</w:t>
            </w:r>
          </w:p>
        </w:tc>
        <w:tc>
          <w:tcPr>
            <w:tcW w:w="1559" w:type="dxa"/>
            <w:vAlign w:val="center"/>
          </w:tcPr>
          <w:p>
            <w:pPr>
              <w:spacing w:line="288" w:lineRule="auto"/>
              <w:jc w:val="center"/>
              <w:rPr>
                <w:rFonts w:ascii="宋体" w:hAnsi="宋体"/>
                <w:szCs w:val="21"/>
              </w:rPr>
            </w:pPr>
            <w:r>
              <w:rPr>
                <w:rFonts w:hint="eastAsia" w:ascii="宋体" w:hAnsi="宋体"/>
                <w:szCs w:val="21"/>
              </w:rPr>
              <w:t>海洋药物</w:t>
            </w:r>
          </w:p>
        </w:tc>
        <w:tc>
          <w:tcPr>
            <w:tcW w:w="1701" w:type="dxa"/>
            <w:vAlign w:val="center"/>
          </w:tcPr>
          <w:p>
            <w:pPr>
              <w:spacing w:line="288" w:lineRule="auto"/>
              <w:jc w:val="center"/>
              <w:rPr>
                <w:szCs w:val="21"/>
              </w:rPr>
            </w:pPr>
            <w:r>
              <w:rPr>
                <w:rFonts w:hint="eastAsia"/>
                <w:szCs w:val="21"/>
              </w:rPr>
              <w:t>海洋药物的来源与结构类型</w:t>
            </w:r>
          </w:p>
        </w:tc>
        <w:tc>
          <w:tcPr>
            <w:tcW w:w="2127" w:type="dxa"/>
            <w:vAlign w:val="center"/>
          </w:tcPr>
          <w:p>
            <w:pPr>
              <w:spacing w:line="288" w:lineRule="auto"/>
            </w:pPr>
            <w:r>
              <w:rPr>
                <w:rFonts w:hint="eastAsia"/>
              </w:rPr>
              <w:t>海洋“本草纲目”</w:t>
            </w:r>
          </w:p>
        </w:tc>
        <w:tc>
          <w:tcPr>
            <w:tcW w:w="2551" w:type="dxa"/>
            <w:vAlign w:val="center"/>
          </w:tcPr>
          <w:p>
            <w:pPr>
              <w:spacing w:line="288" w:lineRule="auto"/>
            </w:pPr>
            <w:r>
              <w:rPr>
                <w:rFonts w:hint="eastAsia"/>
              </w:rPr>
              <w:t>培养学生树立职业科学素养及海洋国家安全意识。</w:t>
            </w:r>
          </w:p>
        </w:tc>
      </w:tr>
    </w:tbl>
    <w:p>
      <w:pPr>
        <w:spacing w:line="360" w:lineRule="auto"/>
        <w:rPr>
          <w:b/>
        </w:rPr>
      </w:pPr>
      <w:r>
        <w:rPr>
          <w:rFonts w:hint="eastAsia"/>
          <w:b/>
        </w:rPr>
        <w:t>七、主要教学方法：</w:t>
      </w:r>
    </w:p>
    <w:p>
      <w:pPr>
        <w:spacing w:line="360" w:lineRule="auto"/>
        <w:ind w:firstLine="435"/>
      </w:pPr>
      <w:r>
        <w:t>教学方法：</w:t>
      </w:r>
      <w:r>
        <w:rPr>
          <w:rFonts w:hint="eastAsia"/>
        </w:rPr>
        <w:t>线上线下混合教学，理论课堂讲授为主结合慕课堂随堂线上练习等。</w:t>
      </w:r>
    </w:p>
    <w:p>
      <w:pPr>
        <w:spacing w:line="360" w:lineRule="auto"/>
        <w:ind w:firstLine="432"/>
      </w:pPr>
      <w:r>
        <w:rPr>
          <w:rFonts w:hint="eastAsia"/>
          <w:bCs/>
        </w:rPr>
        <w:t>自主学习方法与考核：</w:t>
      </w:r>
      <w:r>
        <w:rPr>
          <w:rFonts w:hint="eastAsia"/>
        </w:rPr>
        <w:t>在天然药物</w:t>
      </w:r>
      <w:r>
        <w:t>研究与开发</w:t>
      </w:r>
      <w:r>
        <w:rPr>
          <w:rFonts w:hint="eastAsia"/>
        </w:rPr>
        <w:t>的教学中，以小组分析和讨论的形式完成教学任务。教师根据教学目的和要求，课前布置分析的要求和学习任务，并要求学生完成一份自学报告；课中通过对天然药物中生物活性成分的研究方法进行分析讨论，引领学生逐步掌握</w:t>
      </w:r>
      <w:r>
        <w:rPr>
          <w:rFonts w:hint="eastAsia" w:ascii="宋体" w:hAnsi="宋体"/>
        </w:rPr>
        <w:t>天然药物化学成分</w:t>
      </w:r>
      <w:r>
        <w:rPr>
          <w:rFonts w:hint="eastAsia"/>
        </w:rPr>
        <w:t>的</w:t>
      </w:r>
      <w:r>
        <w:rPr>
          <w:rFonts w:hint="eastAsia" w:ascii="宋体"/>
          <w:szCs w:val="21"/>
        </w:rPr>
        <w:t>结构特点、理化性质、提取分离方法与结构测定的</w:t>
      </w:r>
      <w:r>
        <w:rPr>
          <w:rFonts w:hint="eastAsia"/>
        </w:rPr>
        <w:t>基本知识和基本理论；课后教师首先根据评价标准对每个小组完成的分析报告进行评价，然后综合学生的自学报告和和课堂讨论效果对学生进行评价。</w:t>
      </w:r>
    </w:p>
    <w:p>
      <w:pPr>
        <w:spacing w:line="360" w:lineRule="auto"/>
        <w:ind w:firstLine="432"/>
      </w:pPr>
      <w:r>
        <w:rPr>
          <w:rFonts w:hint="eastAsia"/>
        </w:rPr>
        <w:t>在天然药物</w:t>
      </w:r>
      <w:r>
        <w:t>研究与开发</w:t>
      </w:r>
      <w:r>
        <w:rPr>
          <w:rFonts w:hint="eastAsia"/>
        </w:rPr>
        <w:t>的教学中，以小组分析讨论和汇报的形式完成教学任务。教师作为引导者，根据教学目的和要求，课前在线上布置分析的要求和学习任务，学生自主安排学习进程，并要求由3~4人组成学生小组协作完成一份自学报告和汇报PPT；课堂上教师首先通过对课程主要内容进行导论，并由筛选出的学生代表小组进行课堂汇报，在此过程中引领学生应用已学过的</w:t>
      </w:r>
      <w:r>
        <w:rPr>
          <w:rFonts w:hint="eastAsia" w:ascii="宋体" w:hAnsi="宋体"/>
        </w:rPr>
        <w:t>天然药物化学</w:t>
      </w:r>
      <w:r>
        <w:rPr>
          <w:rFonts w:hint="eastAsia"/>
        </w:rPr>
        <w:t>基本知识理论与实际</w:t>
      </w:r>
      <w:r>
        <w:rPr>
          <w:rFonts w:hint="eastAsia" w:ascii="宋体" w:hAnsi="宋体"/>
        </w:rPr>
        <w:t>研发工作相结合、分析讨论；课堂结束前教师对学生自主学习情况进行总结</w:t>
      </w:r>
      <w:r>
        <w:rPr>
          <w:rFonts w:hint="eastAsia"/>
        </w:rPr>
        <w:t>。课后教师首先根据评价标准对每个小组完成的自学报告进行评价（成绩评定中占比50%），然后结合学生的汇报PPT以及课堂效果对学生进行综合评价（成绩评定中占比50%）。</w:t>
      </w:r>
    </w:p>
    <w:p>
      <w:pPr>
        <w:spacing w:line="360" w:lineRule="auto"/>
        <w:ind w:firstLine="432"/>
        <w:rPr>
          <w:rFonts w:ascii="仿宋" w:hAnsi="仿宋" w:eastAsia="仿宋"/>
          <w:bCs/>
          <w:color w:val="FF0000"/>
          <w:sz w:val="30"/>
          <w:szCs w:val="30"/>
        </w:rPr>
      </w:pPr>
      <w:r>
        <w:rPr>
          <w:rFonts w:hint="eastAsia"/>
        </w:rPr>
        <w:t>推荐自主学习资源：线上资源包括本课程大学慕课SPOC天然药物化学平台各章节内容，图书馆各类线上期刊书刊内容。线下资源包括参考教材和图书馆书库相关书籍。</w:t>
      </w:r>
    </w:p>
    <w:p>
      <w:pPr>
        <w:spacing w:line="360" w:lineRule="auto"/>
        <w:rPr>
          <w:b/>
        </w:rPr>
      </w:pPr>
      <w:r>
        <w:rPr>
          <w:rFonts w:hint="eastAsia"/>
          <w:b/>
        </w:rPr>
        <w:t>八、参考教材（名称、主编、出版社、出版时间）：</w:t>
      </w:r>
    </w:p>
    <w:p>
      <w:pPr>
        <w:spacing w:line="360" w:lineRule="auto"/>
        <w:ind w:firstLine="420" w:firstLineChars="200"/>
        <w:rPr>
          <w:color w:val="0D0D0D"/>
        </w:rPr>
      </w:pPr>
      <w:r>
        <w:rPr>
          <w:rFonts w:hint="eastAsia"/>
          <w:color w:val="0D0D0D"/>
        </w:rPr>
        <w:t>选用</w:t>
      </w:r>
      <w:r>
        <w:rPr>
          <w:color w:val="0D0D0D"/>
        </w:rPr>
        <w:t>教材：</w:t>
      </w:r>
      <w:r>
        <w:rPr>
          <w:rFonts w:hint="eastAsia"/>
          <w:color w:val="0D0D0D"/>
        </w:rPr>
        <w:t>国家卫生和计划生育委员会“十四五规划教材”《天然药物化学》（第8版），</w:t>
      </w:r>
      <w:r>
        <w:rPr>
          <w:color w:val="0D0D0D"/>
        </w:rPr>
        <w:t>华会明</w:t>
      </w:r>
      <w:r>
        <w:fldChar w:fldCharType="begin"/>
      </w:r>
      <w:r>
        <w:instrText xml:space="preserve"> HYPERLINK "http://search.dangdang.com/?key2=%C2%A6%BA%EC%CF%E9&amp;medium=01&amp;category_path=01.00.00.00.00.00" \t "_blank" </w:instrText>
      </w:r>
      <w:r>
        <w:fldChar w:fldCharType="separate"/>
      </w:r>
      <w:r>
        <w:rPr>
          <w:color w:val="0D0D0D"/>
        </w:rPr>
        <w:t>娄红祥</w:t>
      </w:r>
      <w:r>
        <w:rPr>
          <w:color w:val="0D0D0D"/>
        </w:rPr>
        <w:fldChar w:fldCharType="end"/>
      </w:r>
      <w:r>
        <w:rPr>
          <w:color w:val="0D0D0D"/>
        </w:rPr>
        <w:t>主编</w:t>
      </w:r>
      <w:r>
        <w:rPr>
          <w:rFonts w:hint="eastAsia"/>
          <w:color w:val="0D0D0D"/>
        </w:rPr>
        <w:t>，人民卫生出版社，</w:t>
      </w:r>
      <w:r>
        <w:rPr>
          <w:color w:val="0D0D0D"/>
        </w:rPr>
        <w:t>2022.8</w:t>
      </w:r>
    </w:p>
    <w:p>
      <w:pPr>
        <w:spacing w:line="360" w:lineRule="auto"/>
        <w:ind w:firstLine="420" w:firstLineChars="200"/>
        <w:rPr>
          <w:b/>
        </w:rPr>
      </w:pPr>
      <w:r>
        <w:rPr>
          <w:color w:val="0D0D0D"/>
        </w:rPr>
        <w:t>补充教材：《天然药物化学习题集》</w:t>
      </w:r>
      <w:r>
        <w:rPr>
          <w:rFonts w:hint="eastAsia"/>
          <w:color w:val="0D0D0D"/>
        </w:rPr>
        <w:t>（</w:t>
      </w:r>
      <w:r>
        <w:rPr>
          <w:color w:val="0D0D0D"/>
        </w:rPr>
        <w:t>第</w:t>
      </w:r>
      <w:r>
        <w:rPr>
          <w:rFonts w:hint="eastAsia"/>
          <w:color w:val="0D0D0D"/>
        </w:rPr>
        <w:t>4</w:t>
      </w:r>
      <w:r>
        <w:rPr>
          <w:color w:val="0D0D0D"/>
        </w:rPr>
        <w:t>版</w:t>
      </w:r>
      <w:r>
        <w:rPr>
          <w:rFonts w:hint="eastAsia"/>
          <w:color w:val="0D0D0D"/>
        </w:rPr>
        <w:t>），裴月湖</w:t>
      </w:r>
      <w:r>
        <w:rPr>
          <w:color w:val="0D0D0D"/>
        </w:rPr>
        <w:t>主编，人民卫生出版社，20</w:t>
      </w:r>
      <w:r>
        <w:rPr>
          <w:rFonts w:hint="eastAsia"/>
          <w:color w:val="0D0D0D"/>
        </w:rPr>
        <w:t>16.2</w:t>
      </w:r>
    </w:p>
    <w:p>
      <w:pPr>
        <w:spacing w:line="360" w:lineRule="auto"/>
        <w:rPr>
          <w:b/>
        </w:rPr>
      </w:pPr>
      <w:r>
        <w:rPr>
          <w:rFonts w:hint="eastAsia"/>
          <w:b/>
        </w:rPr>
        <w:t>九、教学学习</w:t>
      </w:r>
      <w:r>
        <w:rPr>
          <w:b/>
        </w:rPr>
        <w:t>资源</w:t>
      </w:r>
      <w:r>
        <w:rPr>
          <w:rFonts w:hint="eastAsia"/>
          <w:b/>
        </w:rPr>
        <w:t>或</w:t>
      </w:r>
      <w:r>
        <w:rPr>
          <w:b/>
        </w:rPr>
        <w:t>平台</w:t>
      </w:r>
      <w:r>
        <w:rPr>
          <w:rFonts w:hint="eastAsia"/>
          <w:b/>
        </w:rPr>
        <w:t>：</w:t>
      </w:r>
    </w:p>
    <w:p>
      <w:pPr>
        <w:spacing w:line="360" w:lineRule="auto"/>
      </w:pPr>
      <w:r>
        <w:rPr>
          <w:rFonts w:hint="eastAsia"/>
        </w:rPr>
        <w:t>课件资源：PPT、SPOC学校专有课程视频</w:t>
      </w:r>
    </w:p>
    <w:p>
      <w:pPr>
        <w:spacing w:line="360" w:lineRule="auto"/>
      </w:pPr>
      <w:r>
        <w:rPr>
          <w:rFonts w:hint="eastAsia"/>
        </w:rPr>
        <w:t>学习参考资料</w:t>
      </w:r>
    </w:p>
    <w:p>
      <w:pPr>
        <w:snapToGrid w:val="0"/>
        <w:spacing w:line="360" w:lineRule="auto"/>
        <w:rPr>
          <w:szCs w:val="21"/>
        </w:rPr>
      </w:pPr>
      <w:r>
        <w:rPr>
          <w:szCs w:val="21"/>
        </w:rPr>
        <w:t>[1] 国家中医药管理局《中华本草》编委会：《中华本草》[M].上海：上海科学技术出版社，</w:t>
      </w:r>
    </w:p>
    <w:p>
      <w:pPr>
        <w:snapToGrid w:val="0"/>
        <w:spacing w:line="360" w:lineRule="auto"/>
        <w:ind w:firstLine="525" w:firstLineChars="250"/>
        <w:rPr>
          <w:szCs w:val="21"/>
        </w:rPr>
      </w:pPr>
      <w:r>
        <w:rPr>
          <w:szCs w:val="21"/>
        </w:rPr>
        <w:t>1999～2003。</w:t>
      </w:r>
    </w:p>
    <w:p>
      <w:pPr>
        <w:snapToGrid w:val="0"/>
        <w:spacing w:line="360" w:lineRule="auto"/>
        <w:rPr>
          <w:rFonts w:hAnsi="宋体"/>
          <w:szCs w:val="21"/>
        </w:rPr>
      </w:pPr>
      <w:r>
        <w:rPr>
          <w:rFonts w:hAnsi="宋体"/>
          <w:szCs w:val="21"/>
        </w:rPr>
        <w:t>[2]</w:t>
      </w:r>
      <w:r>
        <w:rPr>
          <w:rFonts w:hint="eastAsia" w:hAnsi="宋体"/>
          <w:szCs w:val="21"/>
        </w:rPr>
        <w:t>《</w:t>
      </w:r>
      <w:r>
        <w:rPr>
          <w:rFonts w:hAnsi="宋体"/>
          <w:szCs w:val="21"/>
        </w:rPr>
        <w:t>天然药物化学</w:t>
      </w:r>
      <w:r>
        <w:rPr>
          <w:rFonts w:hint="eastAsia" w:hAnsi="宋体"/>
          <w:szCs w:val="21"/>
        </w:rPr>
        <w:t>化学》（第</w:t>
      </w:r>
      <w:r>
        <w:rPr>
          <w:rFonts w:hAnsi="宋体"/>
          <w:szCs w:val="21"/>
        </w:rPr>
        <w:t>3</w:t>
      </w:r>
      <w:r>
        <w:rPr>
          <w:rFonts w:hint="eastAsia" w:hAnsi="宋体"/>
          <w:szCs w:val="21"/>
        </w:rPr>
        <w:t>版），孔令义主编，中国医药科技出版社，201</w:t>
      </w:r>
      <w:r>
        <w:rPr>
          <w:rFonts w:hAnsi="宋体"/>
          <w:szCs w:val="21"/>
        </w:rPr>
        <w:t>9</w:t>
      </w:r>
      <w:r>
        <w:rPr>
          <w:rFonts w:hint="eastAsia" w:hAnsi="宋体"/>
          <w:szCs w:val="21"/>
        </w:rPr>
        <w:t>.</w:t>
      </w:r>
      <w:r>
        <w:rPr>
          <w:rFonts w:hAnsi="宋体"/>
          <w:szCs w:val="21"/>
        </w:rPr>
        <w:t>12</w:t>
      </w:r>
    </w:p>
    <w:p>
      <w:pPr>
        <w:snapToGrid w:val="0"/>
        <w:spacing w:line="360" w:lineRule="auto"/>
        <w:rPr>
          <w:szCs w:val="21"/>
        </w:rPr>
      </w:pPr>
      <w:r>
        <w:rPr>
          <w:rFonts w:hAnsi="宋体"/>
          <w:szCs w:val="21"/>
        </w:rPr>
        <w:t>[3]</w:t>
      </w:r>
      <w:r>
        <w:rPr>
          <w:rFonts w:hint="eastAsia" w:hAnsi="宋体"/>
          <w:szCs w:val="21"/>
        </w:rPr>
        <w:t>《</w:t>
      </w:r>
      <w:r>
        <w:rPr>
          <w:rFonts w:hAnsi="宋体"/>
          <w:szCs w:val="21"/>
        </w:rPr>
        <w:t>天然药物化学</w:t>
      </w:r>
      <w:r>
        <w:rPr>
          <w:rFonts w:hint="eastAsia" w:hAnsi="宋体"/>
          <w:szCs w:val="21"/>
        </w:rPr>
        <w:t>化学》（第2版），阮汉利，张宇主编，中国医药科技出版社，20</w:t>
      </w:r>
      <w:r>
        <w:rPr>
          <w:rFonts w:hAnsi="宋体"/>
          <w:szCs w:val="21"/>
        </w:rPr>
        <w:t>21</w:t>
      </w:r>
      <w:r>
        <w:rPr>
          <w:rFonts w:hint="eastAsia" w:hAnsi="宋体"/>
          <w:szCs w:val="21"/>
        </w:rPr>
        <w:t>.</w:t>
      </w:r>
      <w:r>
        <w:rPr>
          <w:rFonts w:hAnsi="宋体"/>
          <w:szCs w:val="21"/>
        </w:rPr>
        <w:t>7</w:t>
      </w:r>
    </w:p>
    <w:p>
      <w:pPr>
        <w:snapToGrid w:val="0"/>
        <w:spacing w:line="360" w:lineRule="auto"/>
        <w:rPr>
          <w:rFonts w:hAnsi="宋体"/>
          <w:szCs w:val="21"/>
        </w:rPr>
      </w:pPr>
      <w:r>
        <w:rPr>
          <w:rFonts w:hAnsi="宋体"/>
          <w:szCs w:val="21"/>
        </w:rPr>
        <w:t>[4]</w:t>
      </w:r>
      <w:r>
        <w:rPr>
          <w:rFonts w:hint="eastAsia" w:hAnsi="宋体"/>
          <w:szCs w:val="21"/>
        </w:rPr>
        <w:t>《</w:t>
      </w:r>
      <w:r>
        <w:rPr>
          <w:rFonts w:hAnsi="宋体"/>
          <w:szCs w:val="21"/>
        </w:rPr>
        <w:t>波谱解析</w:t>
      </w:r>
      <w:r>
        <w:rPr>
          <w:rFonts w:hint="eastAsia" w:hAnsi="宋体"/>
          <w:szCs w:val="21"/>
        </w:rPr>
        <w:t>》（第3版），</w:t>
      </w:r>
      <w:r>
        <w:rPr>
          <w:rFonts w:hAnsi="宋体"/>
          <w:szCs w:val="21"/>
        </w:rPr>
        <w:t>孔令义主编</w:t>
      </w:r>
      <w:r>
        <w:rPr>
          <w:rFonts w:hint="eastAsia" w:hAnsi="宋体"/>
          <w:szCs w:val="21"/>
        </w:rPr>
        <w:t>，</w:t>
      </w:r>
      <w:r>
        <w:rPr>
          <w:rFonts w:hAnsi="宋体"/>
          <w:szCs w:val="21"/>
        </w:rPr>
        <w:t>人民卫生出版社，2023.4</w:t>
      </w:r>
    </w:p>
    <w:p>
      <w:pPr>
        <w:spacing w:line="288" w:lineRule="auto"/>
        <w:rPr>
          <w:b/>
        </w:rPr>
      </w:pPr>
      <w:r>
        <w:rPr>
          <w:rFonts w:hint="eastAsia"/>
          <w:b/>
        </w:rPr>
        <w:t>十、考核方式：</w:t>
      </w:r>
    </w:p>
    <w:p>
      <w:pPr>
        <w:spacing w:line="360" w:lineRule="auto"/>
        <w:rPr>
          <w:color w:val="0D0D0D"/>
        </w:rPr>
      </w:pPr>
      <w:r>
        <w:rPr>
          <w:rFonts w:hint="eastAsia"/>
          <w:color w:val="0D0D0D"/>
        </w:rPr>
        <w:t>1. 平时成绩：占总成绩的</w:t>
      </w:r>
      <w:r>
        <w:rPr>
          <w:rFonts w:hint="eastAsia"/>
          <w:color w:val="000000"/>
        </w:rPr>
        <w:t>50</w:t>
      </w:r>
      <w:r>
        <w:rPr>
          <w:color w:val="000000"/>
        </w:rPr>
        <w:t>%</w:t>
      </w:r>
      <w:r>
        <w:rPr>
          <w:rFonts w:hint="eastAsia"/>
          <w:color w:val="000000"/>
        </w:rPr>
        <w:t>。</w:t>
      </w:r>
    </w:p>
    <w:p>
      <w:pPr>
        <w:spacing w:line="360" w:lineRule="auto"/>
        <w:ind w:firstLine="210" w:firstLineChars="100"/>
        <w:rPr>
          <w:rFonts w:hint="eastAsia"/>
          <w:color w:val="000000"/>
        </w:rPr>
      </w:pPr>
      <w:r>
        <w:rPr>
          <w:rFonts w:hint="eastAsia" w:ascii="宋体" w:hAnsi="宋体"/>
        </w:rPr>
        <w:t>（1）期中考试、线上作业和测试、线下作业占</w:t>
      </w:r>
      <w:r>
        <w:rPr>
          <w:rFonts w:hint="eastAsia"/>
          <w:color w:val="000000"/>
        </w:rPr>
        <w:t>45%。</w:t>
      </w:r>
    </w:p>
    <w:p>
      <w:pPr>
        <w:spacing w:line="360" w:lineRule="auto"/>
        <w:ind w:firstLine="210" w:firstLineChars="100"/>
        <w:rPr>
          <w:color w:val="000000"/>
        </w:rPr>
      </w:pPr>
      <w:r>
        <w:rPr>
          <w:rFonts w:hint="eastAsia" w:hAnsi="宋体"/>
          <w:szCs w:val="21"/>
        </w:rPr>
        <w:t>（2）出勤情况占5%，根据学生的市级出勤情况评定成绩。</w:t>
      </w:r>
    </w:p>
    <w:p>
      <w:pPr>
        <w:spacing w:line="360" w:lineRule="auto"/>
        <w:rPr>
          <w:rFonts w:hint="eastAsia"/>
          <w:color w:val="000000"/>
        </w:rPr>
      </w:pPr>
      <w:r>
        <w:rPr>
          <w:rFonts w:hint="eastAsia"/>
          <w:color w:val="0D0D0D"/>
        </w:rPr>
        <w:t>2</w:t>
      </w:r>
      <w:r>
        <w:rPr>
          <w:color w:val="0D0D0D"/>
        </w:rPr>
        <w:t xml:space="preserve">. </w:t>
      </w:r>
      <w:r>
        <w:rPr>
          <w:rFonts w:hint="eastAsia"/>
          <w:color w:val="0D0D0D"/>
        </w:rPr>
        <w:t>闭卷考试：占总成绩的</w:t>
      </w:r>
      <w:r>
        <w:rPr>
          <w:rFonts w:hint="eastAsia"/>
          <w:color w:val="000000"/>
        </w:rPr>
        <w:t>5</w:t>
      </w:r>
      <w:r>
        <w:rPr>
          <w:color w:val="000000"/>
        </w:rPr>
        <w:t>0%</w:t>
      </w:r>
      <w:r>
        <w:rPr>
          <w:rFonts w:hint="eastAsia"/>
          <w:color w:val="000000"/>
        </w:rPr>
        <w:t>。</w:t>
      </w:r>
    </w:p>
    <w:p>
      <w:pPr>
        <w:spacing w:line="360" w:lineRule="auto"/>
        <w:rPr>
          <w:color w:val="000000"/>
        </w:rPr>
      </w:pPr>
      <w:r>
        <w:rPr>
          <w:rFonts w:hint="eastAsia"/>
          <w:color w:val="000000"/>
        </w:rPr>
        <w:t>3. 反馈途径：考核分析微信通知各班级班长，再由其转发至各班级学生。</w:t>
      </w:r>
    </w:p>
    <w:p>
      <w:pPr>
        <w:spacing w:line="360" w:lineRule="auto"/>
        <w:ind w:firstLine="420" w:firstLineChars="200"/>
        <w:rPr>
          <w:color w:val="0D0D0D"/>
        </w:rPr>
      </w:pPr>
    </w:p>
    <w:p>
      <w:pPr>
        <w:spacing w:line="360" w:lineRule="auto"/>
        <w:ind w:firstLine="420" w:firstLineChars="200"/>
        <w:rPr>
          <w:color w:val="0D0D0D"/>
        </w:rPr>
        <w:sectPr>
          <w:footerReference r:id="rId5" w:type="first"/>
          <w:footerReference r:id="rId3" w:type="default"/>
          <w:footerReference r:id="rId4" w:type="even"/>
          <w:pgSz w:w="11906" w:h="16838"/>
          <w:pgMar w:top="1440" w:right="1797" w:bottom="1440" w:left="1797" w:header="851" w:footer="992" w:gutter="0"/>
          <w:cols w:space="720" w:num="1"/>
          <w:docGrid w:type="lines" w:linePitch="312" w:charSpace="0"/>
        </w:sectPr>
      </w:pPr>
    </w:p>
    <w:p>
      <w:pPr>
        <w:spacing w:line="288" w:lineRule="auto"/>
        <w:rPr>
          <w:b/>
        </w:rPr>
      </w:pPr>
      <w:r>
        <w:rPr>
          <w:rFonts w:hint="eastAsia"/>
          <w:b/>
        </w:rPr>
        <w:t>附表：教学计划表（在相应的表格内填写教学学时数）</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7"/>
        <w:gridCol w:w="4997"/>
        <w:gridCol w:w="2268"/>
        <w:gridCol w:w="2126"/>
        <w:gridCol w:w="2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207" w:type="dxa"/>
            <w:vAlign w:val="center"/>
          </w:tcPr>
          <w:p>
            <w:pPr>
              <w:spacing w:line="288" w:lineRule="auto"/>
              <w:jc w:val="center"/>
              <w:rPr>
                <w:b/>
              </w:rPr>
            </w:pPr>
            <w:r>
              <w:rPr>
                <w:rFonts w:hint="eastAsia"/>
                <w:b/>
              </w:rPr>
              <w:t>序号</w:t>
            </w:r>
          </w:p>
        </w:tc>
        <w:tc>
          <w:tcPr>
            <w:tcW w:w="4997" w:type="dxa"/>
            <w:vAlign w:val="center"/>
          </w:tcPr>
          <w:p>
            <w:pPr>
              <w:spacing w:line="288" w:lineRule="auto"/>
              <w:jc w:val="center"/>
              <w:rPr>
                <w:b/>
              </w:rPr>
            </w:pPr>
            <w:r>
              <w:rPr>
                <w:rFonts w:hint="eastAsia"/>
                <w:b/>
              </w:rPr>
              <w:t>学习内容</w:t>
            </w:r>
          </w:p>
        </w:tc>
        <w:tc>
          <w:tcPr>
            <w:tcW w:w="2268" w:type="dxa"/>
            <w:vAlign w:val="center"/>
          </w:tcPr>
          <w:p>
            <w:pPr>
              <w:spacing w:line="288" w:lineRule="auto"/>
              <w:jc w:val="center"/>
              <w:rPr>
                <w:b/>
              </w:rPr>
            </w:pPr>
            <w:r>
              <w:rPr>
                <w:rFonts w:hint="eastAsia"/>
                <w:b/>
              </w:rPr>
              <w:t>理论学时</w:t>
            </w:r>
          </w:p>
        </w:tc>
        <w:tc>
          <w:tcPr>
            <w:tcW w:w="2126" w:type="dxa"/>
            <w:vAlign w:val="center"/>
          </w:tcPr>
          <w:p>
            <w:pPr>
              <w:spacing w:line="288" w:lineRule="auto"/>
              <w:jc w:val="center"/>
              <w:rPr>
                <w:b/>
              </w:rPr>
            </w:pPr>
            <w:r>
              <w:rPr>
                <w:rFonts w:hint="eastAsia"/>
                <w:b/>
              </w:rPr>
              <w:t>实验学时</w:t>
            </w:r>
          </w:p>
        </w:tc>
        <w:tc>
          <w:tcPr>
            <w:tcW w:w="2977" w:type="dxa"/>
            <w:vAlign w:val="center"/>
          </w:tcPr>
          <w:p>
            <w:pPr>
              <w:spacing w:line="288" w:lineRule="auto"/>
              <w:jc w:val="center"/>
              <w:rPr>
                <w:b/>
              </w:rPr>
            </w:pPr>
            <w:r>
              <w:rPr>
                <w:rFonts w:hint="eastAsia"/>
                <w:b/>
              </w:rPr>
              <w:t>是否自主学习</w:t>
            </w:r>
            <w:r>
              <w:rPr>
                <w:b/>
              </w:rPr>
              <w:t>内容</w:t>
            </w:r>
            <w:r>
              <w:rPr>
                <w:rFonts w:hint="eastAsia"/>
                <w:b/>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1207" w:type="dxa"/>
            <w:vAlign w:val="center"/>
          </w:tcPr>
          <w:p>
            <w:pPr>
              <w:spacing w:line="288" w:lineRule="auto"/>
              <w:jc w:val="center"/>
              <w:rPr>
                <w:b/>
              </w:rPr>
            </w:pPr>
            <w:r>
              <w:rPr>
                <w:rFonts w:hint="eastAsia"/>
                <w:b/>
              </w:rPr>
              <w:t>1</w:t>
            </w:r>
          </w:p>
        </w:tc>
        <w:tc>
          <w:tcPr>
            <w:tcW w:w="4997" w:type="dxa"/>
            <w:vAlign w:val="center"/>
          </w:tcPr>
          <w:p>
            <w:pPr>
              <w:jc w:val="center"/>
              <w:rPr>
                <w:color w:val="0D0D0D"/>
              </w:rPr>
            </w:pPr>
            <w:r>
              <w:rPr>
                <w:color w:val="0D0D0D"/>
              </w:rPr>
              <w:t>总论</w:t>
            </w:r>
          </w:p>
        </w:tc>
        <w:tc>
          <w:tcPr>
            <w:tcW w:w="2268" w:type="dxa"/>
            <w:vAlign w:val="center"/>
          </w:tcPr>
          <w:p>
            <w:pPr>
              <w:spacing w:line="288" w:lineRule="auto"/>
              <w:jc w:val="center"/>
              <w:rPr>
                <w:color w:val="000000"/>
              </w:rPr>
            </w:pPr>
            <w:r>
              <w:rPr>
                <w:rFonts w:hint="eastAsia"/>
                <w:color w:val="000000"/>
              </w:rPr>
              <w:t>6</w:t>
            </w:r>
          </w:p>
        </w:tc>
        <w:tc>
          <w:tcPr>
            <w:tcW w:w="2126" w:type="dxa"/>
          </w:tcPr>
          <w:p>
            <w:pPr>
              <w:spacing w:line="288" w:lineRule="auto"/>
              <w:jc w:val="center"/>
            </w:pP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07" w:type="dxa"/>
            <w:vAlign w:val="center"/>
          </w:tcPr>
          <w:p>
            <w:pPr>
              <w:spacing w:line="288" w:lineRule="auto"/>
              <w:jc w:val="center"/>
              <w:rPr>
                <w:b/>
              </w:rPr>
            </w:pPr>
            <w:r>
              <w:rPr>
                <w:rFonts w:hint="eastAsia"/>
                <w:b/>
              </w:rPr>
              <w:t>2</w:t>
            </w:r>
          </w:p>
        </w:tc>
        <w:tc>
          <w:tcPr>
            <w:tcW w:w="4997" w:type="dxa"/>
            <w:vAlign w:val="center"/>
          </w:tcPr>
          <w:p>
            <w:pPr>
              <w:jc w:val="center"/>
              <w:rPr>
                <w:color w:val="0D0D0D"/>
              </w:rPr>
            </w:pPr>
            <w:r>
              <w:rPr>
                <w:color w:val="0D0D0D"/>
              </w:rPr>
              <w:t>糖</w:t>
            </w:r>
            <w:r>
              <w:rPr>
                <w:rFonts w:hint="eastAsia"/>
                <w:color w:val="0D0D0D"/>
              </w:rPr>
              <w:t>和</w:t>
            </w:r>
            <w:r>
              <w:rPr>
                <w:color w:val="0D0D0D"/>
              </w:rPr>
              <w:t>苷</w:t>
            </w:r>
          </w:p>
        </w:tc>
        <w:tc>
          <w:tcPr>
            <w:tcW w:w="2268" w:type="dxa"/>
            <w:vAlign w:val="center"/>
          </w:tcPr>
          <w:p>
            <w:pPr>
              <w:spacing w:line="288" w:lineRule="auto"/>
              <w:jc w:val="center"/>
              <w:rPr>
                <w:color w:val="000000"/>
              </w:rPr>
            </w:pPr>
            <w:r>
              <w:rPr>
                <w:rFonts w:hint="eastAsia"/>
                <w:color w:val="000000"/>
              </w:rPr>
              <w:t>6</w:t>
            </w:r>
          </w:p>
        </w:tc>
        <w:tc>
          <w:tcPr>
            <w:tcW w:w="2126" w:type="dxa"/>
          </w:tcPr>
          <w:p>
            <w:pPr>
              <w:spacing w:line="288" w:lineRule="auto"/>
              <w:jc w:val="center"/>
            </w:pP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207" w:type="dxa"/>
            <w:vAlign w:val="center"/>
          </w:tcPr>
          <w:p>
            <w:pPr>
              <w:spacing w:line="288" w:lineRule="auto"/>
              <w:jc w:val="center"/>
              <w:rPr>
                <w:b/>
              </w:rPr>
            </w:pPr>
            <w:r>
              <w:rPr>
                <w:rFonts w:hint="eastAsia"/>
                <w:b/>
              </w:rPr>
              <w:t>3</w:t>
            </w:r>
          </w:p>
        </w:tc>
        <w:tc>
          <w:tcPr>
            <w:tcW w:w="4997" w:type="dxa"/>
            <w:vAlign w:val="center"/>
          </w:tcPr>
          <w:p>
            <w:pPr>
              <w:jc w:val="center"/>
              <w:rPr>
                <w:color w:val="0D0D0D"/>
              </w:rPr>
            </w:pPr>
            <w:r>
              <w:rPr>
                <w:color w:val="0D0D0D"/>
              </w:rPr>
              <w:t>苯丙素</w:t>
            </w:r>
            <w:r>
              <w:rPr>
                <w:rFonts w:hint="eastAsia"/>
                <w:color w:val="0D0D0D"/>
              </w:rPr>
              <w:t>类化合物</w:t>
            </w:r>
          </w:p>
        </w:tc>
        <w:tc>
          <w:tcPr>
            <w:tcW w:w="2268" w:type="dxa"/>
            <w:vAlign w:val="center"/>
          </w:tcPr>
          <w:p>
            <w:pPr>
              <w:spacing w:line="288" w:lineRule="auto"/>
              <w:jc w:val="center"/>
              <w:rPr>
                <w:color w:val="000000"/>
              </w:rPr>
            </w:pPr>
            <w:r>
              <w:rPr>
                <w:rFonts w:hint="eastAsia"/>
                <w:color w:val="000000"/>
              </w:rPr>
              <w:t>4</w:t>
            </w:r>
          </w:p>
        </w:tc>
        <w:tc>
          <w:tcPr>
            <w:tcW w:w="2126" w:type="dxa"/>
          </w:tcPr>
          <w:p>
            <w:pPr>
              <w:spacing w:line="288" w:lineRule="auto"/>
              <w:jc w:val="center"/>
            </w:pP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07" w:type="dxa"/>
            <w:vAlign w:val="center"/>
          </w:tcPr>
          <w:p>
            <w:pPr>
              <w:spacing w:line="288" w:lineRule="auto"/>
              <w:jc w:val="center"/>
              <w:rPr>
                <w:b/>
              </w:rPr>
            </w:pPr>
            <w:r>
              <w:rPr>
                <w:rFonts w:hint="eastAsia"/>
                <w:b/>
              </w:rPr>
              <w:t>4</w:t>
            </w:r>
          </w:p>
        </w:tc>
        <w:tc>
          <w:tcPr>
            <w:tcW w:w="4997" w:type="dxa"/>
            <w:vAlign w:val="center"/>
          </w:tcPr>
          <w:p>
            <w:pPr>
              <w:jc w:val="center"/>
              <w:rPr>
                <w:color w:val="0D0D0D"/>
              </w:rPr>
            </w:pPr>
            <w:r>
              <w:rPr>
                <w:color w:val="0D0D0D"/>
              </w:rPr>
              <w:t>醌类化合物</w:t>
            </w:r>
          </w:p>
        </w:tc>
        <w:tc>
          <w:tcPr>
            <w:tcW w:w="2268" w:type="dxa"/>
            <w:vAlign w:val="center"/>
          </w:tcPr>
          <w:p>
            <w:pPr>
              <w:spacing w:line="288" w:lineRule="auto"/>
              <w:jc w:val="center"/>
              <w:rPr>
                <w:color w:val="000000"/>
              </w:rPr>
            </w:pPr>
            <w:r>
              <w:rPr>
                <w:rFonts w:hint="eastAsia"/>
                <w:color w:val="000000"/>
              </w:rPr>
              <w:t>5</w:t>
            </w:r>
          </w:p>
        </w:tc>
        <w:tc>
          <w:tcPr>
            <w:tcW w:w="2126" w:type="dxa"/>
          </w:tcPr>
          <w:p>
            <w:pPr>
              <w:spacing w:line="288" w:lineRule="auto"/>
              <w:jc w:val="center"/>
            </w:pP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07" w:type="dxa"/>
            <w:vAlign w:val="center"/>
          </w:tcPr>
          <w:p>
            <w:pPr>
              <w:spacing w:line="288" w:lineRule="auto"/>
              <w:jc w:val="center"/>
              <w:rPr>
                <w:b/>
              </w:rPr>
            </w:pPr>
            <w:r>
              <w:rPr>
                <w:rFonts w:hint="eastAsia"/>
                <w:b/>
              </w:rPr>
              <w:t>5</w:t>
            </w:r>
          </w:p>
        </w:tc>
        <w:tc>
          <w:tcPr>
            <w:tcW w:w="4997" w:type="dxa"/>
            <w:vAlign w:val="center"/>
          </w:tcPr>
          <w:p>
            <w:pPr>
              <w:jc w:val="center"/>
              <w:rPr>
                <w:color w:val="0D0D0D"/>
              </w:rPr>
            </w:pPr>
            <w:r>
              <w:rPr>
                <w:color w:val="0D0D0D"/>
              </w:rPr>
              <w:t>黄酮类化合物</w:t>
            </w:r>
          </w:p>
        </w:tc>
        <w:tc>
          <w:tcPr>
            <w:tcW w:w="2268" w:type="dxa"/>
            <w:vAlign w:val="center"/>
          </w:tcPr>
          <w:p>
            <w:pPr>
              <w:spacing w:line="288" w:lineRule="auto"/>
              <w:jc w:val="center"/>
              <w:rPr>
                <w:color w:val="000000"/>
              </w:rPr>
            </w:pPr>
            <w:r>
              <w:rPr>
                <w:rFonts w:hint="eastAsia"/>
                <w:color w:val="000000"/>
              </w:rPr>
              <w:t>8</w:t>
            </w:r>
          </w:p>
        </w:tc>
        <w:tc>
          <w:tcPr>
            <w:tcW w:w="2126" w:type="dxa"/>
          </w:tcPr>
          <w:p>
            <w:pPr>
              <w:spacing w:line="288" w:lineRule="auto"/>
              <w:jc w:val="center"/>
            </w:pP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207" w:type="dxa"/>
            <w:vAlign w:val="center"/>
          </w:tcPr>
          <w:p>
            <w:pPr>
              <w:spacing w:line="288" w:lineRule="auto"/>
              <w:jc w:val="center"/>
              <w:rPr>
                <w:b/>
              </w:rPr>
            </w:pPr>
            <w:r>
              <w:rPr>
                <w:rFonts w:hint="eastAsia"/>
                <w:b/>
              </w:rPr>
              <w:t>6</w:t>
            </w:r>
          </w:p>
        </w:tc>
        <w:tc>
          <w:tcPr>
            <w:tcW w:w="4997" w:type="dxa"/>
            <w:vAlign w:val="center"/>
          </w:tcPr>
          <w:p>
            <w:pPr>
              <w:jc w:val="center"/>
              <w:rPr>
                <w:color w:val="0D0D0D"/>
              </w:rPr>
            </w:pPr>
            <w:r>
              <w:rPr>
                <w:color w:val="0D0D0D"/>
              </w:rPr>
              <w:t>萜</w:t>
            </w:r>
            <w:r>
              <w:rPr>
                <w:rFonts w:hint="eastAsia"/>
                <w:color w:val="0D0D0D"/>
              </w:rPr>
              <w:t>类化合物和</w:t>
            </w:r>
            <w:r>
              <w:rPr>
                <w:color w:val="0D0D0D"/>
              </w:rPr>
              <w:t>挥发油</w:t>
            </w:r>
          </w:p>
        </w:tc>
        <w:tc>
          <w:tcPr>
            <w:tcW w:w="2268" w:type="dxa"/>
            <w:vAlign w:val="center"/>
          </w:tcPr>
          <w:p>
            <w:pPr>
              <w:spacing w:line="288" w:lineRule="auto"/>
              <w:jc w:val="center"/>
              <w:rPr>
                <w:color w:val="000000"/>
              </w:rPr>
            </w:pPr>
            <w:r>
              <w:rPr>
                <w:rFonts w:hint="eastAsia"/>
                <w:color w:val="000000"/>
              </w:rPr>
              <w:t>4</w:t>
            </w:r>
          </w:p>
        </w:tc>
        <w:tc>
          <w:tcPr>
            <w:tcW w:w="2126" w:type="dxa"/>
          </w:tcPr>
          <w:p>
            <w:pPr>
              <w:spacing w:line="288" w:lineRule="auto"/>
              <w:jc w:val="center"/>
            </w:pP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207" w:type="dxa"/>
            <w:vAlign w:val="center"/>
          </w:tcPr>
          <w:p>
            <w:pPr>
              <w:spacing w:line="288" w:lineRule="auto"/>
              <w:jc w:val="center"/>
              <w:rPr>
                <w:b/>
              </w:rPr>
            </w:pPr>
            <w:r>
              <w:rPr>
                <w:rFonts w:hint="eastAsia"/>
                <w:b/>
              </w:rPr>
              <w:t>7</w:t>
            </w:r>
          </w:p>
        </w:tc>
        <w:tc>
          <w:tcPr>
            <w:tcW w:w="4997" w:type="dxa"/>
            <w:vAlign w:val="center"/>
          </w:tcPr>
          <w:p>
            <w:pPr>
              <w:jc w:val="center"/>
              <w:rPr>
                <w:color w:val="0D0D0D"/>
              </w:rPr>
            </w:pPr>
            <w:r>
              <w:rPr>
                <w:color w:val="0D0D0D"/>
              </w:rPr>
              <w:t>三萜</w:t>
            </w:r>
            <w:r>
              <w:rPr>
                <w:rFonts w:hint="eastAsia"/>
                <w:color w:val="0D0D0D"/>
              </w:rPr>
              <w:t>类化合物及其</w:t>
            </w:r>
            <w:r>
              <w:rPr>
                <w:color w:val="0D0D0D"/>
              </w:rPr>
              <w:t>苷类</w:t>
            </w:r>
          </w:p>
        </w:tc>
        <w:tc>
          <w:tcPr>
            <w:tcW w:w="2268" w:type="dxa"/>
            <w:vAlign w:val="center"/>
          </w:tcPr>
          <w:p>
            <w:pPr>
              <w:spacing w:line="288" w:lineRule="auto"/>
              <w:jc w:val="center"/>
              <w:rPr>
                <w:color w:val="000000"/>
              </w:rPr>
            </w:pPr>
            <w:r>
              <w:rPr>
                <w:rFonts w:hint="eastAsia"/>
                <w:color w:val="000000"/>
              </w:rPr>
              <w:t>3</w:t>
            </w:r>
          </w:p>
        </w:tc>
        <w:tc>
          <w:tcPr>
            <w:tcW w:w="2126" w:type="dxa"/>
          </w:tcPr>
          <w:p>
            <w:pPr>
              <w:spacing w:line="288" w:lineRule="auto"/>
              <w:jc w:val="center"/>
            </w:pP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8</w:t>
            </w:r>
          </w:p>
        </w:tc>
        <w:tc>
          <w:tcPr>
            <w:tcW w:w="4997" w:type="dxa"/>
            <w:vAlign w:val="center"/>
          </w:tcPr>
          <w:p>
            <w:pPr>
              <w:jc w:val="center"/>
              <w:rPr>
                <w:color w:val="0D0D0D"/>
              </w:rPr>
            </w:pPr>
            <w:r>
              <w:rPr>
                <w:color w:val="0D0D0D"/>
              </w:rPr>
              <w:t>甾体</w:t>
            </w:r>
            <w:r>
              <w:rPr>
                <w:rFonts w:hint="eastAsia"/>
                <w:color w:val="0D0D0D"/>
              </w:rPr>
              <w:t>及其</w:t>
            </w:r>
            <w:r>
              <w:rPr>
                <w:color w:val="0D0D0D"/>
              </w:rPr>
              <w:t>苷类</w:t>
            </w:r>
          </w:p>
        </w:tc>
        <w:tc>
          <w:tcPr>
            <w:tcW w:w="2268" w:type="dxa"/>
            <w:vAlign w:val="center"/>
          </w:tcPr>
          <w:p>
            <w:pPr>
              <w:spacing w:line="288" w:lineRule="auto"/>
              <w:jc w:val="center"/>
              <w:rPr>
                <w:color w:val="000000"/>
              </w:rPr>
            </w:pPr>
            <w:r>
              <w:rPr>
                <w:rFonts w:hint="eastAsia"/>
                <w:color w:val="000000"/>
              </w:rPr>
              <w:t>6</w:t>
            </w:r>
          </w:p>
        </w:tc>
        <w:tc>
          <w:tcPr>
            <w:tcW w:w="2126" w:type="dxa"/>
          </w:tcPr>
          <w:p>
            <w:pPr>
              <w:spacing w:line="288" w:lineRule="auto"/>
              <w:jc w:val="center"/>
            </w:pP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9</w:t>
            </w:r>
          </w:p>
        </w:tc>
        <w:tc>
          <w:tcPr>
            <w:tcW w:w="4997" w:type="dxa"/>
            <w:vAlign w:val="center"/>
          </w:tcPr>
          <w:p>
            <w:pPr>
              <w:jc w:val="center"/>
              <w:rPr>
                <w:color w:val="0D0D0D"/>
              </w:rPr>
            </w:pPr>
            <w:r>
              <w:rPr>
                <w:color w:val="0D0D0D"/>
              </w:rPr>
              <w:t>生物碱</w:t>
            </w:r>
            <w:r>
              <w:rPr>
                <w:rFonts w:hint="eastAsia"/>
                <w:color w:val="0D0D0D"/>
              </w:rPr>
              <w:t>类化合物</w:t>
            </w:r>
          </w:p>
        </w:tc>
        <w:tc>
          <w:tcPr>
            <w:tcW w:w="2268" w:type="dxa"/>
            <w:vAlign w:val="center"/>
          </w:tcPr>
          <w:p>
            <w:pPr>
              <w:spacing w:line="288" w:lineRule="auto"/>
              <w:jc w:val="center"/>
            </w:pPr>
            <w:r>
              <w:rPr>
                <w:rFonts w:hint="eastAsia"/>
              </w:rPr>
              <w:t>9</w:t>
            </w:r>
          </w:p>
        </w:tc>
        <w:tc>
          <w:tcPr>
            <w:tcW w:w="2126" w:type="dxa"/>
          </w:tcPr>
          <w:p>
            <w:pPr>
              <w:spacing w:line="288" w:lineRule="auto"/>
              <w:jc w:val="center"/>
            </w:pP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10</w:t>
            </w:r>
          </w:p>
        </w:tc>
        <w:tc>
          <w:tcPr>
            <w:tcW w:w="4997" w:type="dxa"/>
            <w:vAlign w:val="center"/>
          </w:tcPr>
          <w:p>
            <w:pPr>
              <w:jc w:val="center"/>
              <w:rPr>
                <w:color w:val="0D0D0D"/>
              </w:rPr>
            </w:pPr>
            <w:r>
              <w:rPr>
                <w:color w:val="0D0D0D"/>
              </w:rPr>
              <w:t>海洋药物</w:t>
            </w:r>
            <w:r>
              <w:rPr>
                <w:rFonts w:hint="eastAsia"/>
                <w:color w:val="0D0D0D"/>
              </w:rPr>
              <w:t>、</w:t>
            </w:r>
            <w:r>
              <w:rPr>
                <w:rFonts w:hint="eastAsia" w:ascii="宋体" w:hAnsi="宋体"/>
              </w:rPr>
              <w:t>微生物代谢产物</w:t>
            </w:r>
          </w:p>
        </w:tc>
        <w:tc>
          <w:tcPr>
            <w:tcW w:w="2268" w:type="dxa"/>
            <w:vAlign w:val="center"/>
          </w:tcPr>
          <w:p>
            <w:pPr>
              <w:spacing w:line="288" w:lineRule="auto"/>
              <w:jc w:val="center"/>
              <w:rPr>
                <w:color w:val="000000"/>
              </w:rPr>
            </w:pPr>
            <w:r>
              <w:rPr>
                <w:rFonts w:hint="eastAsia"/>
                <w:color w:val="000000"/>
              </w:rPr>
              <w:t>1</w:t>
            </w:r>
          </w:p>
        </w:tc>
        <w:tc>
          <w:tcPr>
            <w:tcW w:w="2126" w:type="dxa"/>
          </w:tcPr>
          <w:p>
            <w:pPr>
              <w:spacing w:line="288" w:lineRule="auto"/>
              <w:jc w:val="center"/>
            </w:pPr>
          </w:p>
        </w:tc>
        <w:tc>
          <w:tcPr>
            <w:tcW w:w="2977" w:type="dxa"/>
            <w:vAlign w:val="center"/>
          </w:tcPr>
          <w:p>
            <w:pPr>
              <w:spacing w:line="288" w:lineRule="auto"/>
              <w:jc w:val="center"/>
            </w:pPr>
            <w:r>
              <w:rPr>
                <w:rFonts w:hint="eastAsia"/>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1207" w:type="dxa"/>
            <w:vAlign w:val="center"/>
          </w:tcPr>
          <w:p>
            <w:pPr>
              <w:spacing w:line="288" w:lineRule="auto"/>
              <w:jc w:val="center"/>
              <w:rPr>
                <w:b/>
              </w:rPr>
            </w:pPr>
            <w:r>
              <w:rPr>
                <w:rFonts w:hint="eastAsia"/>
                <w:b/>
              </w:rPr>
              <w:t>11</w:t>
            </w:r>
          </w:p>
        </w:tc>
        <w:tc>
          <w:tcPr>
            <w:tcW w:w="4997" w:type="dxa"/>
            <w:vAlign w:val="center"/>
          </w:tcPr>
          <w:p>
            <w:pPr>
              <w:jc w:val="center"/>
              <w:rPr>
                <w:color w:val="0D0D0D"/>
              </w:rPr>
            </w:pPr>
            <w:r>
              <w:rPr>
                <w:rFonts w:hint="eastAsia"/>
                <w:color w:val="0D0D0D"/>
              </w:rPr>
              <w:t>天然药物的</w:t>
            </w:r>
            <w:r>
              <w:rPr>
                <w:color w:val="0D0D0D"/>
              </w:rPr>
              <w:t>研究开发</w:t>
            </w:r>
          </w:p>
        </w:tc>
        <w:tc>
          <w:tcPr>
            <w:tcW w:w="2268" w:type="dxa"/>
            <w:vAlign w:val="center"/>
          </w:tcPr>
          <w:p>
            <w:pPr>
              <w:spacing w:line="288" w:lineRule="auto"/>
              <w:jc w:val="center"/>
              <w:rPr>
                <w:color w:val="0D0D0D"/>
              </w:rPr>
            </w:pPr>
            <w:r>
              <w:rPr>
                <w:rFonts w:hint="eastAsia"/>
                <w:color w:val="0D0D0D"/>
              </w:rPr>
              <w:t>2</w:t>
            </w:r>
          </w:p>
        </w:tc>
        <w:tc>
          <w:tcPr>
            <w:tcW w:w="2126" w:type="dxa"/>
          </w:tcPr>
          <w:p>
            <w:pPr>
              <w:spacing w:line="288" w:lineRule="auto"/>
              <w:jc w:val="center"/>
            </w:pPr>
          </w:p>
        </w:tc>
        <w:tc>
          <w:tcPr>
            <w:tcW w:w="2977" w:type="dxa"/>
            <w:vAlign w:val="center"/>
          </w:tcPr>
          <w:p>
            <w:pPr>
              <w:spacing w:line="288" w:lineRule="auto"/>
              <w:jc w:val="center"/>
            </w:pPr>
            <w:r>
              <w:rPr>
                <w:rFonts w:hint="eastAsia"/>
                <w:color w:val="0D0D0D"/>
              </w:rPr>
              <w:t>是（2学时）</w:t>
            </w:r>
          </w:p>
        </w:tc>
      </w:tr>
    </w:tbl>
    <w:p>
      <w:pPr>
        <w:spacing w:line="288" w:lineRule="auto"/>
      </w:pPr>
    </w:p>
    <w:p>
      <w:pPr>
        <w:spacing w:line="288" w:lineRule="auto"/>
      </w:pPr>
    </w:p>
    <w:p>
      <w:pPr>
        <w:spacing w:line="288" w:lineRule="auto"/>
      </w:pPr>
    </w:p>
    <w:sectPr>
      <w:headerReference r:id="rId8" w:type="first"/>
      <w:footerReference r:id="rId11" w:type="first"/>
      <w:headerReference r:id="rId6" w:type="default"/>
      <w:footerReference r:id="rId9" w:type="default"/>
      <w:headerReference r:id="rId7" w:type="even"/>
      <w:footerReference r:id="rId10" w:type="even"/>
      <w:pgSz w:w="16838" w:h="11906" w:orient="landscape"/>
      <w:pgMar w:top="1797" w:right="1440" w:bottom="1797" w:left="1440" w:header="851" w:footer="992" w:gutter="0"/>
      <w:cols w:space="720" w:num="1"/>
      <w:docGrid w:linePitch="333" w:charSpace="-43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separate"/>
    </w:r>
    <w:r>
      <w:rPr>
        <w:rStyle w:val="11"/>
      </w:rPr>
      <w:t>4</w:t>
    </w:r>
    <w:r>
      <w:fldChar w:fldCharType="end"/>
    </w: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1"/>
      </w:rPr>
    </w:pPr>
    <w:r>
      <w:fldChar w:fldCharType="begin"/>
    </w:r>
    <w:r>
      <w:rPr>
        <w:rStyle w:val="11"/>
      </w:rPr>
      <w:instrText xml:space="preserve">PAGE  </w:instrTex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5</w:t>
    </w:r>
    <w:r>
      <w:fldChar w:fldCharType="end"/>
    </w:r>
  </w:p>
  <w:p>
    <w:pPr>
      <w:pStyle w:val="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UzMGMzOWMzYzg4ZjQyY2YzM2ExM2I5NjRhZDkwMTAifQ=="/>
  </w:docVars>
  <w:rsids>
    <w:rsidRoot w:val="00087859"/>
    <w:rsid w:val="00002491"/>
    <w:rsid w:val="00014877"/>
    <w:rsid w:val="00036904"/>
    <w:rsid w:val="00037CF9"/>
    <w:rsid w:val="0004344D"/>
    <w:rsid w:val="00061450"/>
    <w:rsid w:val="000646B7"/>
    <w:rsid w:val="000657C0"/>
    <w:rsid w:val="00075299"/>
    <w:rsid w:val="000877E6"/>
    <w:rsid w:val="00087859"/>
    <w:rsid w:val="00090EC0"/>
    <w:rsid w:val="00095A99"/>
    <w:rsid w:val="000B40FE"/>
    <w:rsid w:val="000B45D8"/>
    <w:rsid w:val="000C2DAF"/>
    <w:rsid w:val="000C3614"/>
    <w:rsid w:val="000D1D6D"/>
    <w:rsid w:val="000D6EE0"/>
    <w:rsid w:val="000F1C4D"/>
    <w:rsid w:val="001125E6"/>
    <w:rsid w:val="00117BE9"/>
    <w:rsid w:val="00126758"/>
    <w:rsid w:val="001268D8"/>
    <w:rsid w:val="00126938"/>
    <w:rsid w:val="0015134F"/>
    <w:rsid w:val="00156AF2"/>
    <w:rsid w:val="00156B47"/>
    <w:rsid w:val="00157D89"/>
    <w:rsid w:val="00165DC1"/>
    <w:rsid w:val="00167D41"/>
    <w:rsid w:val="00174A84"/>
    <w:rsid w:val="00193ECB"/>
    <w:rsid w:val="001955A8"/>
    <w:rsid w:val="001A2A8C"/>
    <w:rsid w:val="001B1ED6"/>
    <w:rsid w:val="001D4149"/>
    <w:rsid w:val="001D5871"/>
    <w:rsid w:val="001E1947"/>
    <w:rsid w:val="00213AAE"/>
    <w:rsid w:val="00217755"/>
    <w:rsid w:val="00217C72"/>
    <w:rsid w:val="00221C51"/>
    <w:rsid w:val="00230A51"/>
    <w:rsid w:val="00237AD9"/>
    <w:rsid w:val="00242C7E"/>
    <w:rsid w:val="002516E9"/>
    <w:rsid w:val="00254FBC"/>
    <w:rsid w:val="00260860"/>
    <w:rsid w:val="002642F0"/>
    <w:rsid w:val="0026561E"/>
    <w:rsid w:val="00265893"/>
    <w:rsid w:val="00265EA5"/>
    <w:rsid w:val="00267903"/>
    <w:rsid w:val="00276354"/>
    <w:rsid w:val="0028506C"/>
    <w:rsid w:val="002902FD"/>
    <w:rsid w:val="0029259C"/>
    <w:rsid w:val="002929B8"/>
    <w:rsid w:val="002A2E82"/>
    <w:rsid w:val="002C4AA6"/>
    <w:rsid w:val="002C7D8D"/>
    <w:rsid w:val="002D0BE4"/>
    <w:rsid w:val="002D6C0A"/>
    <w:rsid w:val="002F0F76"/>
    <w:rsid w:val="00325281"/>
    <w:rsid w:val="003271CF"/>
    <w:rsid w:val="00330BE3"/>
    <w:rsid w:val="00332375"/>
    <w:rsid w:val="00332F98"/>
    <w:rsid w:val="003375D8"/>
    <w:rsid w:val="003431FF"/>
    <w:rsid w:val="0034479E"/>
    <w:rsid w:val="00344993"/>
    <w:rsid w:val="00355E6C"/>
    <w:rsid w:val="00363442"/>
    <w:rsid w:val="0036513C"/>
    <w:rsid w:val="0037038B"/>
    <w:rsid w:val="00375288"/>
    <w:rsid w:val="003870E9"/>
    <w:rsid w:val="003A07B5"/>
    <w:rsid w:val="003A4128"/>
    <w:rsid w:val="003B0F98"/>
    <w:rsid w:val="003B7967"/>
    <w:rsid w:val="003E1020"/>
    <w:rsid w:val="003E18D0"/>
    <w:rsid w:val="003E33F7"/>
    <w:rsid w:val="003E64C5"/>
    <w:rsid w:val="003E77AE"/>
    <w:rsid w:val="004107D9"/>
    <w:rsid w:val="00425233"/>
    <w:rsid w:val="00433794"/>
    <w:rsid w:val="00433833"/>
    <w:rsid w:val="00435392"/>
    <w:rsid w:val="00436E23"/>
    <w:rsid w:val="00436FA7"/>
    <w:rsid w:val="00440ECB"/>
    <w:rsid w:val="004476F7"/>
    <w:rsid w:val="00454775"/>
    <w:rsid w:val="004557D9"/>
    <w:rsid w:val="00460231"/>
    <w:rsid w:val="00462C82"/>
    <w:rsid w:val="0046329B"/>
    <w:rsid w:val="004668AC"/>
    <w:rsid w:val="00473B54"/>
    <w:rsid w:val="004747EF"/>
    <w:rsid w:val="00482E7B"/>
    <w:rsid w:val="00485DC4"/>
    <w:rsid w:val="004914F6"/>
    <w:rsid w:val="00491FC1"/>
    <w:rsid w:val="004A4117"/>
    <w:rsid w:val="004A5BB8"/>
    <w:rsid w:val="004B3079"/>
    <w:rsid w:val="004B58E4"/>
    <w:rsid w:val="004C5F64"/>
    <w:rsid w:val="004C6746"/>
    <w:rsid w:val="004E1B24"/>
    <w:rsid w:val="004F5490"/>
    <w:rsid w:val="004F6ECB"/>
    <w:rsid w:val="004F75D3"/>
    <w:rsid w:val="005038E0"/>
    <w:rsid w:val="005057C9"/>
    <w:rsid w:val="00520DB7"/>
    <w:rsid w:val="00522F88"/>
    <w:rsid w:val="0053030E"/>
    <w:rsid w:val="005438AF"/>
    <w:rsid w:val="00550112"/>
    <w:rsid w:val="00550771"/>
    <w:rsid w:val="00560BF0"/>
    <w:rsid w:val="00565098"/>
    <w:rsid w:val="00577160"/>
    <w:rsid w:val="00584D33"/>
    <w:rsid w:val="0058632D"/>
    <w:rsid w:val="0059603A"/>
    <w:rsid w:val="005A0DF2"/>
    <w:rsid w:val="005A71EE"/>
    <w:rsid w:val="005A75BE"/>
    <w:rsid w:val="005C3F48"/>
    <w:rsid w:val="005D05AE"/>
    <w:rsid w:val="005D34C1"/>
    <w:rsid w:val="005D63D3"/>
    <w:rsid w:val="005E0383"/>
    <w:rsid w:val="005F13DA"/>
    <w:rsid w:val="005F156C"/>
    <w:rsid w:val="005F4F91"/>
    <w:rsid w:val="006060DE"/>
    <w:rsid w:val="0060728F"/>
    <w:rsid w:val="00611159"/>
    <w:rsid w:val="00611293"/>
    <w:rsid w:val="00611DEE"/>
    <w:rsid w:val="00612ABF"/>
    <w:rsid w:val="006131A1"/>
    <w:rsid w:val="0061482B"/>
    <w:rsid w:val="00623563"/>
    <w:rsid w:val="00623AB3"/>
    <w:rsid w:val="00623C9C"/>
    <w:rsid w:val="0062572C"/>
    <w:rsid w:val="00626073"/>
    <w:rsid w:val="0062797F"/>
    <w:rsid w:val="0063134C"/>
    <w:rsid w:val="00640461"/>
    <w:rsid w:val="00645C82"/>
    <w:rsid w:val="006520FF"/>
    <w:rsid w:val="006576CC"/>
    <w:rsid w:val="00663208"/>
    <w:rsid w:val="006670AA"/>
    <w:rsid w:val="00672CF7"/>
    <w:rsid w:val="0067559D"/>
    <w:rsid w:val="00684875"/>
    <w:rsid w:val="00693C92"/>
    <w:rsid w:val="0069526C"/>
    <w:rsid w:val="006A4BD9"/>
    <w:rsid w:val="006B0531"/>
    <w:rsid w:val="006B103F"/>
    <w:rsid w:val="006B3E27"/>
    <w:rsid w:val="006B4355"/>
    <w:rsid w:val="006B47BA"/>
    <w:rsid w:val="006B5CC0"/>
    <w:rsid w:val="006C668F"/>
    <w:rsid w:val="006D6122"/>
    <w:rsid w:val="006F34A6"/>
    <w:rsid w:val="006F37CC"/>
    <w:rsid w:val="006F5921"/>
    <w:rsid w:val="00726009"/>
    <w:rsid w:val="00731E06"/>
    <w:rsid w:val="007442C0"/>
    <w:rsid w:val="00761FE8"/>
    <w:rsid w:val="00766E40"/>
    <w:rsid w:val="007676B5"/>
    <w:rsid w:val="00767E8C"/>
    <w:rsid w:val="00784F8C"/>
    <w:rsid w:val="007906A2"/>
    <w:rsid w:val="00794933"/>
    <w:rsid w:val="007B2294"/>
    <w:rsid w:val="007B67AE"/>
    <w:rsid w:val="007C07FC"/>
    <w:rsid w:val="007C7D5D"/>
    <w:rsid w:val="007D371C"/>
    <w:rsid w:val="007D3A37"/>
    <w:rsid w:val="007D4FFC"/>
    <w:rsid w:val="007D6CE5"/>
    <w:rsid w:val="007E0062"/>
    <w:rsid w:val="007E70F1"/>
    <w:rsid w:val="007F0B78"/>
    <w:rsid w:val="007F28DF"/>
    <w:rsid w:val="007F7283"/>
    <w:rsid w:val="00801825"/>
    <w:rsid w:val="008030C9"/>
    <w:rsid w:val="00806A6A"/>
    <w:rsid w:val="00826DEA"/>
    <w:rsid w:val="00833C0E"/>
    <w:rsid w:val="008413B9"/>
    <w:rsid w:val="00843C85"/>
    <w:rsid w:val="00850681"/>
    <w:rsid w:val="00856629"/>
    <w:rsid w:val="008567AA"/>
    <w:rsid w:val="00863FEA"/>
    <w:rsid w:val="0087018B"/>
    <w:rsid w:val="0087318B"/>
    <w:rsid w:val="00885695"/>
    <w:rsid w:val="008B0C34"/>
    <w:rsid w:val="008B1E83"/>
    <w:rsid w:val="008B6A2A"/>
    <w:rsid w:val="008F7E39"/>
    <w:rsid w:val="009008EA"/>
    <w:rsid w:val="00900ADB"/>
    <w:rsid w:val="0090297B"/>
    <w:rsid w:val="00912FA7"/>
    <w:rsid w:val="00933367"/>
    <w:rsid w:val="00933452"/>
    <w:rsid w:val="00933A3D"/>
    <w:rsid w:val="009345EF"/>
    <w:rsid w:val="00936C8E"/>
    <w:rsid w:val="00937DB7"/>
    <w:rsid w:val="00940325"/>
    <w:rsid w:val="00965637"/>
    <w:rsid w:val="009764D4"/>
    <w:rsid w:val="0098221D"/>
    <w:rsid w:val="009867EF"/>
    <w:rsid w:val="009B1D2E"/>
    <w:rsid w:val="009B1D38"/>
    <w:rsid w:val="009B58C2"/>
    <w:rsid w:val="009C0F11"/>
    <w:rsid w:val="009C5C0B"/>
    <w:rsid w:val="009D18EC"/>
    <w:rsid w:val="009E1760"/>
    <w:rsid w:val="009F3F44"/>
    <w:rsid w:val="00A0102E"/>
    <w:rsid w:val="00A01E5C"/>
    <w:rsid w:val="00A04AFF"/>
    <w:rsid w:val="00A050D0"/>
    <w:rsid w:val="00A16917"/>
    <w:rsid w:val="00A36C07"/>
    <w:rsid w:val="00A4705D"/>
    <w:rsid w:val="00A548D7"/>
    <w:rsid w:val="00A57748"/>
    <w:rsid w:val="00A60356"/>
    <w:rsid w:val="00A60D78"/>
    <w:rsid w:val="00A62480"/>
    <w:rsid w:val="00A65E70"/>
    <w:rsid w:val="00A70FB7"/>
    <w:rsid w:val="00A76D4A"/>
    <w:rsid w:val="00A850DE"/>
    <w:rsid w:val="00AB15A7"/>
    <w:rsid w:val="00AB7726"/>
    <w:rsid w:val="00AC729C"/>
    <w:rsid w:val="00AD381D"/>
    <w:rsid w:val="00AD51C3"/>
    <w:rsid w:val="00AF4F12"/>
    <w:rsid w:val="00AF6827"/>
    <w:rsid w:val="00B101BA"/>
    <w:rsid w:val="00B11D4A"/>
    <w:rsid w:val="00B131DC"/>
    <w:rsid w:val="00B228BD"/>
    <w:rsid w:val="00B31648"/>
    <w:rsid w:val="00B35B89"/>
    <w:rsid w:val="00B4746D"/>
    <w:rsid w:val="00B60413"/>
    <w:rsid w:val="00B6294A"/>
    <w:rsid w:val="00B84B6C"/>
    <w:rsid w:val="00B90719"/>
    <w:rsid w:val="00B963D3"/>
    <w:rsid w:val="00B9762C"/>
    <w:rsid w:val="00B97A9F"/>
    <w:rsid w:val="00BA0EE1"/>
    <w:rsid w:val="00BA3F9F"/>
    <w:rsid w:val="00BC08AD"/>
    <w:rsid w:val="00BF0EC4"/>
    <w:rsid w:val="00BF1017"/>
    <w:rsid w:val="00BF38E3"/>
    <w:rsid w:val="00BF45A0"/>
    <w:rsid w:val="00C0082B"/>
    <w:rsid w:val="00C0268B"/>
    <w:rsid w:val="00C046DE"/>
    <w:rsid w:val="00C1413D"/>
    <w:rsid w:val="00C151B0"/>
    <w:rsid w:val="00C221A1"/>
    <w:rsid w:val="00C2480C"/>
    <w:rsid w:val="00C26CF3"/>
    <w:rsid w:val="00C371D7"/>
    <w:rsid w:val="00C525FD"/>
    <w:rsid w:val="00C74C38"/>
    <w:rsid w:val="00C7525B"/>
    <w:rsid w:val="00C86EA6"/>
    <w:rsid w:val="00C97C68"/>
    <w:rsid w:val="00CA2651"/>
    <w:rsid w:val="00CA41F9"/>
    <w:rsid w:val="00CB30B8"/>
    <w:rsid w:val="00CE2A30"/>
    <w:rsid w:val="00CF6544"/>
    <w:rsid w:val="00CF6FCB"/>
    <w:rsid w:val="00D0462A"/>
    <w:rsid w:val="00D06854"/>
    <w:rsid w:val="00D13BB5"/>
    <w:rsid w:val="00D32E55"/>
    <w:rsid w:val="00D40841"/>
    <w:rsid w:val="00D52D35"/>
    <w:rsid w:val="00D5635B"/>
    <w:rsid w:val="00D56F6E"/>
    <w:rsid w:val="00D62903"/>
    <w:rsid w:val="00D63B1D"/>
    <w:rsid w:val="00D657BF"/>
    <w:rsid w:val="00D65946"/>
    <w:rsid w:val="00D8642E"/>
    <w:rsid w:val="00D87AC0"/>
    <w:rsid w:val="00DA1005"/>
    <w:rsid w:val="00DA2A87"/>
    <w:rsid w:val="00DB388F"/>
    <w:rsid w:val="00DC23C1"/>
    <w:rsid w:val="00DD6789"/>
    <w:rsid w:val="00DE4BFF"/>
    <w:rsid w:val="00DE7269"/>
    <w:rsid w:val="00E00CF7"/>
    <w:rsid w:val="00E05F65"/>
    <w:rsid w:val="00E10DF6"/>
    <w:rsid w:val="00E15C64"/>
    <w:rsid w:val="00E216A6"/>
    <w:rsid w:val="00E26E40"/>
    <w:rsid w:val="00E27D68"/>
    <w:rsid w:val="00E27FC5"/>
    <w:rsid w:val="00E376ED"/>
    <w:rsid w:val="00E42132"/>
    <w:rsid w:val="00E464B0"/>
    <w:rsid w:val="00E52FB6"/>
    <w:rsid w:val="00E63A30"/>
    <w:rsid w:val="00E77544"/>
    <w:rsid w:val="00E83259"/>
    <w:rsid w:val="00E92C66"/>
    <w:rsid w:val="00EA4345"/>
    <w:rsid w:val="00EA4D90"/>
    <w:rsid w:val="00EA7A18"/>
    <w:rsid w:val="00EB43FC"/>
    <w:rsid w:val="00EB53A3"/>
    <w:rsid w:val="00EC507F"/>
    <w:rsid w:val="00ED6AE8"/>
    <w:rsid w:val="00EE237F"/>
    <w:rsid w:val="00EE26D2"/>
    <w:rsid w:val="00F10622"/>
    <w:rsid w:val="00F1346E"/>
    <w:rsid w:val="00F23393"/>
    <w:rsid w:val="00F30FF6"/>
    <w:rsid w:val="00F32242"/>
    <w:rsid w:val="00F37F25"/>
    <w:rsid w:val="00F40CA1"/>
    <w:rsid w:val="00F42FC9"/>
    <w:rsid w:val="00F55099"/>
    <w:rsid w:val="00F64C23"/>
    <w:rsid w:val="00F74587"/>
    <w:rsid w:val="00F82403"/>
    <w:rsid w:val="00F91EEE"/>
    <w:rsid w:val="00FA1B0D"/>
    <w:rsid w:val="00FA5348"/>
    <w:rsid w:val="00FA6E78"/>
    <w:rsid w:val="00FB544E"/>
    <w:rsid w:val="00FD06B0"/>
    <w:rsid w:val="00FD168D"/>
    <w:rsid w:val="00FD5131"/>
    <w:rsid w:val="00FE35CF"/>
    <w:rsid w:val="00FE7F3C"/>
    <w:rsid w:val="00FF35AA"/>
    <w:rsid w:val="043527BD"/>
    <w:rsid w:val="18D75F94"/>
    <w:rsid w:val="30700A35"/>
    <w:rsid w:val="4CF8441C"/>
    <w:rsid w:val="4E17298A"/>
    <w:rsid w:val="5DED71E1"/>
    <w:rsid w:val="5FC84A82"/>
    <w:rsid w:val="615734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autoRedefine/>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456" w:firstLineChars="200"/>
    </w:pPr>
    <w:rPr>
      <w:rFonts w:ascii="宋体" w:hAnsi="宋体"/>
    </w:rPr>
  </w:style>
  <w:style w:type="paragraph" w:styleId="3">
    <w:name w:val="Plain Text"/>
    <w:basedOn w:val="1"/>
    <w:link w:val="12"/>
    <w:autoRedefine/>
    <w:qFormat/>
    <w:uiPriority w:val="0"/>
    <w:rPr>
      <w:rFonts w:ascii="宋体" w:hAnsi="Courier New"/>
      <w:szCs w:val="20"/>
    </w:rPr>
  </w:style>
  <w:style w:type="paragraph" w:styleId="4">
    <w:name w:val="Date"/>
    <w:basedOn w:val="1"/>
    <w:next w:val="1"/>
    <w:autoRedefine/>
    <w:qFormat/>
    <w:uiPriority w:val="0"/>
    <w:pPr>
      <w:ind w:left="100" w:leftChars="2500"/>
    </w:pPr>
  </w:style>
  <w:style w:type="paragraph" w:styleId="5">
    <w:name w:val="Balloon Text"/>
    <w:basedOn w:val="1"/>
    <w:link w:val="13"/>
    <w:autoRedefine/>
    <w:qFormat/>
    <w:uiPriority w:val="0"/>
    <w:rPr>
      <w:sz w:val="18"/>
      <w:szCs w:val="18"/>
    </w:rPr>
  </w:style>
  <w:style w:type="paragraph" w:styleId="6">
    <w:name w:val="footer"/>
    <w:basedOn w:val="1"/>
    <w:link w:val="14"/>
    <w:autoRedefine/>
    <w:qFormat/>
    <w:uiPriority w:val="99"/>
    <w:pPr>
      <w:tabs>
        <w:tab w:val="center" w:pos="4153"/>
        <w:tab w:val="right" w:pos="8306"/>
      </w:tabs>
      <w:snapToGrid w:val="0"/>
      <w:jc w:val="left"/>
    </w:pPr>
    <w:rPr>
      <w:sz w:val="18"/>
      <w:szCs w:val="18"/>
    </w:rPr>
  </w:style>
  <w:style w:type="paragraph" w:styleId="7">
    <w:name w:val="header"/>
    <w:basedOn w:val="1"/>
    <w:link w:val="15"/>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iPriority w:val="99"/>
    <w:pPr>
      <w:widowControl/>
      <w:jc w:val="left"/>
    </w:pPr>
    <w:rPr>
      <w:rFonts w:ascii="宋体" w:hAnsi="宋体" w:cs="宋体"/>
      <w:kern w:val="0"/>
      <w:sz w:val="24"/>
    </w:rPr>
  </w:style>
  <w:style w:type="character" w:styleId="11">
    <w:name w:val="page number"/>
    <w:basedOn w:val="10"/>
    <w:autoRedefine/>
    <w:qFormat/>
    <w:uiPriority w:val="0"/>
  </w:style>
  <w:style w:type="character" w:customStyle="1" w:styleId="12">
    <w:name w:val="纯文本 Char"/>
    <w:link w:val="3"/>
    <w:qFormat/>
    <w:uiPriority w:val="0"/>
    <w:rPr>
      <w:rFonts w:ascii="宋体" w:hAnsi="Courier New" w:eastAsia="宋体"/>
      <w:kern w:val="2"/>
      <w:sz w:val="21"/>
      <w:lang w:val="en-US" w:eastAsia="zh-CN" w:bidi="ar-SA"/>
    </w:rPr>
  </w:style>
  <w:style w:type="character" w:customStyle="1" w:styleId="13">
    <w:name w:val="批注框文本 Char"/>
    <w:link w:val="5"/>
    <w:autoRedefine/>
    <w:qFormat/>
    <w:uiPriority w:val="0"/>
    <w:rPr>
      <w:kern w:val="2"/>
      <w:sz w:val="18"/>
      <w:szCs w:val="18"/>
    </w:rPr>
  </w:style>
  <w:style w:type="character" w:customStyle="1" w:styleId="14">
    <w:name w:val="页脚 Char"/>
    <w:link w:val="6"/>
    <w:autoRedefine/>
    <w:qFormat/>
    <w:uiPriority w:val="99"/>
    <w:rPr>
      <w:kern w:val="2"/>
      <w:sz w:val="18"/>
      <w:szCs w:val="18"/>
    </w:rPr>
  </w:style>
  <w:style w:type="character" w:customStyle="1" w:styleId="15">
    <w:name w:val="页眉 Char"/>
    <w:link w:val="7"/>
    <w:autoRedefine/>
    <w:qFormat/>
    <w:uiPriority w:val="0"/>
    <w:rPr>
      <w:rFonts w:eastAsia="宋体"/>
      <w:kern w:val="2"/>
      <w:sz w:val="18"/>
      <w:szCs w:val="18"/>
      <w:lang w:val="en-US" w:eastAsia="zh-CN" w:bidi="ar-SA"/>
    </w:rPr>
  </w:style>
  <w:style w:type="character" w:customStyle="1" w:styleId="16">
    <w:name w:val="high-light-bg4"/>
    <w:basedOn w:val="10"/>
    <w:qFormat/>
    <w:uiPriority w:val="0"/>
  </w:style>
  <w:style w:type="paragraph" w:customStyle="1" w:styleId="17">
    <w:name w:val="ordinary-output target-output"/>
    <w:basedOn w:val="1"/>
    <w:autoRedefine/>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天津医科大学</Company>
  <Pages>5</Pages>
  <Words>450</Words>
  <Characters>2568</Characters>
  <Lines>21</Lines>
  <Paragraphs>6</Paragraphs>
  <TotalTime>0</TotalTime>
  <ScaleCrop>false</ScaleCrop>
  <LinksUpToDate>false</LinksUpToDate>
  <CharactersWithSpaces>3012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2024-03-11T03:55:00Z</dcterms:created>
  <dc:creator>王秋生</dc:creator>
  <cp:lastModifiedBy>Administrator</cp:lastModifiedBy>
  <cp:lastPrinted>2013-10-08T03:34:00Z</cp:lastPrinted>
  <dcterms:modified xsi:type="dcterms:W3CDTF">2024-03-27T05:47:00Z</dcterms:modified>
  <dc:title>关于修订教学大纲、见、实习大纲文字格式要求</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4003E4E595BB4A99929D5CAA66B32B09_12</vt:lpwstr>
  </property>
</Properties>
</file>