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580" w:lineRule="exact"/>
        <w:jc w:val="center"/>
        <w:rPr>
          <w:rFonts w:eastAsia="黑体"/>
          <w:w w:val="95"/>
          <w:sz w:val="44"/>
          <w:szCs w:val="44"/>
        </w:rPr>
      </w:pPr>
    </w:p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  <w:lang w:eastAsia="zh-CN"/>
        </w:rPr>
        <w:t>天津市安定医院</w:t>
      </w: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  <w:t>2023年</w:t>
      </w: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  <w:lang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  <w:t>预算</w:t>
      </w:r>
    </w:p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w w:val="95"/>
          <w:sz w:val="48"/>
          <w:szCs w:val="48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spacing w:line="58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目   录</w:t>
      </w:r>
    </w:p>
    <w:p>
      <w:pPr>
        <w:spacing w:line="600" w:lineRule="exact"/>
        <w:rPr>
          <w:rFonts w:hint="eastAsia" w:ascii="黑体" w:eastAsia="黑体"/>
          <w:sz w:val="30"/>
          <w:szCs w:val="30"/>
        </w:rPr>
      </w:pP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第一部分  概 况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一、主要职责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二、机构设置情况</w:t>
      </w: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第二部分  2023年</w:t>
      </w:r>
      <w:r>
        <w:rPr>
          <w:rFonts w:hint="eastAsia" w:ascii="仿宋_GB2312" w:hAnsi="Times New Roman" w:eastAsia="仿宋_GB2312"/>
          <w:b/>
          <w:sz w:val="30"/>
          <w:szCs w:val="30"/>
          <w:lang w:eastAsia="zh-CN"/>
        </w:rPr>
        <w:t>单位</w:t>
      </w:r>
      <w:r>
        <w:rPr>
          <w:rFonts w:hint="eastAsia" w:ascii="仿宋_GB2312" w:hAnsi="Times New Roman" w:eastAsia="仿宋_GB2312"/>
          <w:b/>
          <w:sz w:val="30"/>
          <w:szCs w:val="30"/>
        </w:rPr>
        <w:t>预算情况说明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一、关于收支总体情况表的说明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二、关于收入总体情况表的说明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三、关于支出总体情况表的说明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四、关于财政拨款收支总体情况表的说明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五、关于一般公共预算支出情况的说明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六、关于一般公共预算基本支出情况表的说明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七、关于一般公共预算“三公”经费支出情况表的说明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八、关于政府性基金预算支出情况表的说明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九、关于国有资本经营预算支出情况表的说明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十、其他重要事项的情况说明</w:t>
      </w: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第三部分  名词解释</w:t>
      </w:r>
    </w:p>
    <w:p>
      <w:pPr>
        <w:spacing w:line="600" w:lineRule="exact"/>
        <w:rPr>
          <w:rFonts w:hint="eastAsia" w:ascii="仿宋_GB2312" w:hAnsi="Times New Roman" w:eastAsia="仿宋_GB2312"/>
          <w:b/>
          <w:sz w:val="30"/>
          <w:szCs w:val="30"/>
        </w:rPr>
      </w:pPr>
      <w:r>
        <w:rPr>
          <w:rFonts w:hint="eastAsia" w:ascii="仿宋_GB2312" w:hAnsi="Times New Roman" w:eastAsia="仿宋_GB2312"/>
          <w:b/>
          <w:sz w:val="30"/>
          <w:szCs w:val="30"/>
        </w:rPr>
        <w:t>第四部分  2023年</w:t>
      </w:r>
      <w:r>
        <w:rPr>
          <w:rFonts w:hint="eastAsia" w:ascii="仿宋_GB2312" w:hAnsi="Times New Roman" w:eastAsia="仿宋_GB2312"/>
          <w:b/>
          <w:sz w:val="30"/>
          <w:szCs w:val="30"/>
          <w:lang w:eastAsia="zh-CN"/>
        </w:rPr>
        <w:t>单位</w:t>
      </w:r>
      <w:r>
        <w:rPr>
          <w:rFonts w:hint="eastAsia" w:ascii="仿宋_GB2312" w:hAnsi="Times New Roman" w:eastAsia="仿宋_GB2312"/>
          <w:b/>
          <w:sz w:val="30"/>
          <w:szCs w:val="30"/>
        </w:rPr>
        <w:t>预算表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一、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单位</w:t>
      </w:r>
      <w:r>
        <w:rPr>
          <w:rFonts w:hint="eastAsia" w:ascii="仿宋_GB2312" w:hAnsi="Times New Roman" w:eastAsia="仿宋_GB2312"/>
          <w:sz w:val="30"/>
          <w:szCs w:val="30"/>
        </w:rPr>
        <w:t>收支总体情况表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二、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单位</w:t>
      </w:r>
      <w:r>
        <w:rPr>
          <w:rFonts w:hint="eastAsia" w:ascii="仿宋_GB2312" w:hAnsi="Times New Roman" w:eastAsia="仿宋_GB2312"/>
          <w:sz w:val="30"/>
          <w:szCs w:val="30"/>
        </w:rPr>
        <w:t>收入总体情况表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三、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单位</w:t>
      </w:r>
      <w:r>
        <w:rPr>
          <w:rFonts w:hint="eastAsia" w:ascii="仿宋_GB2312" w:hAnsi="Times New Roman" w:eastAsia="仿宋_GB2312"/>
          <w:sz w:val="30"/>
          <w:szCs w:val="30"/>
        </w:rPr>
        <w:t>支出总体情况表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四、财政拨款收支总体情况表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五、一般公共预算支出情况表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六、一般公共预算基本支出情况表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七、一般公共预算“三公”经费支出情况表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八、政府性基金预算支出情况表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九、国有资本经营预算支出情况表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十、项目支出表</w:t>
      </w:r>
    </w:p>
    <w:p>
      <w:pPr>
        <w:spacing w:line="600" w:lineRule="exact"/>
        <w:rPr>
          <w:rFonts w:hint="eastAsia" w:ascii="仿宋_GB2312" w:hAnsi="Times New Roman" w:eastAsia="仿宋_GB2312"/>
          <w:sz w:val="30"/>
          <w:szCs w:val="30"/>
        </w:rPr>
      </w:pPr>
      <w:r>
        <w:rPr>
          <w:rFonts w:hint="eastAsia" w:ascii="仿宋_GB2312" w:hAnsi="Times New Roman" w:eastAsia="仿宋_GB2312"/>
          <w:sz w:val="30"/>
          <w:szCs w:val="30"/>
        </w:rPr>
        <w:t>十一、关于空表的说明</w:t>
      </w:r>
      <w:r>
        <w:rPr>
          <w:rFonts w:hint="eastAsia" w:ascii="仿宋_GB2312" w:hAnsi="Times New Roman" w:eastAsia="仿宋_GB2312"/>
          <w:sz w:val="30"/>
          <w:szCs w:val="30"/>
        </w:rPr>
        <w:tab/>
      </w:r>
    </w:p>
    <w:p>
      <w:pPr>
        <w:spacing w:line="600" w:lineRule="exact"/>
        <w:rPr>
          <w:rFonts w:ascii="仿宋_GB2312" w:hAnsi="Times New Roman" w:eastAsia="仿宋_GB2312"/>
          <w:b/>
          <w:sz w:val="30"/>
          <w:szCs w:val="30"/>
        </w:rPr>
      </w:pPr>
      <w:r>
        <w:rPr>
          <w:rFonts w:ascii="仿宋_GB2312" w:hAnsi="Times New Roman" w:eastAsia="仿宋_GB2312"/>
          <w:b/>
          <w:sz w:val="30"/>
          <w:szCs w:val="30"/>
        </w:rPr>
        <w:fldChar w:fldCharType="begin"/>
      </w:r>
      <w:r>
        <w:rPr>
          <w:rFonts w:ascii="仿宋_GB2312" w:hAnsi="Times New Roman" w:eastAsia="仿宋_GB2312"/>
          <w:b/>
          <w:sz w:val="30"/>
          <w:szCs w:val="30"/>
        </w:rPr>
        <w:instrText xml:space="preserve"> </w:instrText>
      </w:r>
      <w:r>
        <w:rPr>
          <w:rFonts w:hint="eastAsia" w:ascii="仿宋_GB2312" w:hAnsi="Times New Roman" w:eastAsia="仿宋_GB2312"/>
          <w:b/>
          <w:sz w:val="30"/>
          <w:szCs w:val="30"/>
        </w:rPr>
        <w:instrText xml:space="preserve">TOC \o "1-3" \h \z \u</w:instrText>
      </w:r>
      <w:r>
        <w:rPr>
          <w:rFonts w:ascii="仿宋_GB2312" w:hAnsi="Times New Roman" w:eastAsia="仿宋_GB2312"/>
          <w:b/>
          <w:sz w:val="30"/>
          <w:szCs w:val="30"/>
        </w:rPr>
        <w:instrText xml:space="preserve"> </w:instrText>
      </w:r>
      <w:r>
        <w:rPr>
          <w:rFonts w:ascii="仿宋_GB2312" w:hAnsi="Times New Roman" w:eastAsia="仿宋_GB2312"/>
          <w:b/>
          <w:sz w:val="30"/>
          <w:szCs w:val="30"/>
        </w:rPr>
        <w:fldChar w:fldCharType="separate"/>
      </w: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  <w:r>
        <w:rPr>
          <w:rFonts w:ascii="仿宋_GB2312" w:hAnsi="Times New Roman" w:eastAsia="仿宋_GB2312"/>
          <w:sz w:val="30"/>
          <w:szCs w:val="30"/>
        </w:rPr>
        <w:fldChar w:fldCharType="end"/>
      </w: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ascii="仿宋_GB2312" w:hAnsi="Times New Roman" w:eastAsia="仿宋_GB2312"/>
          <w:sz w:val="30"/>
          <w:szCs w:val="30"/>
        </w:rPr>
      </w:pPr>
    </w:p>
    <w:p>
      <w:pPr>
        <w:spacing w:line="600" w:lineRule="exact"/>
        <w:jc w:val="both"/>
        <w:rPr>
          <w:rFonts w:hint="eastAsia" w:eastAsia="黑体"/>
          <w:w w:val="95"/>
          <w:sz w:val="44"/>
          <w:szCs w:val="44"/>
        </w:rPr>
      </w:pPr>
    </w:p>
    <w:p>
      <w:pPr>
        <w:pStyle w:val="8"/>
        <w:tabs>
          <w:tab w:val="right" w:leader="dot" w:pos="8296"/>
        </w:tabs>
        <w:spacing w:line="600" w:lineRule="exact"/>
        <w:ind w:left="0"/>
        <w:rPr>
          <w:rFonts w:ascii="黑体" w:eastAsia="黑体"/>
          <w:sz w:val="30"/>
          <w:szCs w:val="30"/>
        </w:rPr>
        <w:sectPr>
          <w:headerReference r:id="rId5" w:type="default"/>
          <w:footerReference r:id="rId6" w:type="default"/>
          <w:footerReference r:id="rId7" w:type="even"/>
          <w:pgSz w:w="11907" w:h="16840"/>
          <w:pgMar w:top="2098" w:right="1474" w:bottom="1304" w:left="1588" w:header="765" w:footer="765" w:gutter="0"/>
          <w:pgNumType w:fmt="numberInDash" w:start="1"/>
          <w:cols w:space="720" w:num="1"/>
          <w:docGrid w:linePitch="326" w:charSpace="0"/>
        </w:sectPr>
      </w:pPr>
    </w:p>
    <w:p>
      <w:pPr>
        <w:pStyle w:val="2"/>
        <w:spacing w:line="600" w:lineRule="exact"/>
        <w:jc w:val="center"/>
        <w:rPr>
          <w:rFonts w:ascii="方正小标宋简体" w:hAnsi="方正小标宋简体" w:eastAsia="方正小标宋简体" w:cs="方正小标宋简体"/>
          <w:b w:val="0"/>
          <w:sz w:val="48"/>
          <w:szCs w:val="48"/>
        </w:rPr>
      </w:pPr>
      <w:bookmarkStart w:id="0" w:name="_Toc78784554"/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第一部分  概 况</w:t>
      </w:r>
      <w:bookmarkEnd w:id="0"/>
    </w:p>
    <w:p>
      <w:pPr>
        <w:spacing w:line="600" w:lineRule="exact"/>
        <w:rPr>
          <w:rFonts w:hint="eastAsia"/>
        </w:rPr>
      </w:pPr>
    </w:p>
    <w:p>
      <w:pPr>
        <w:pStyle w:val="3"/>
        <w:spacing w:line="600" w:lineRule="exact"/>
        <w:ind w:firstLine="602" w:firstLineChars="200"/>
        <w:rPr>
          <w:rFonts w:hint="eastAsia" w:ascii="黑体" w:hAnsi="黑体" w:eastAsia="黑体"/>
          <w:sz w:val="30"/>
          <w:szCs w:val="30"/>
        </w:rPr>
      </w:pPr>
      <w:bookmarkStart w:id="1" w:name="_Toc78784555"/>
      <w:r>
        <w:rPr>
          <w:rFonts w:hint="eastAsia" w:ascii="黑体" w:hAnsi="黑体" w:eastAsia="黑体"/>
          <w:sz w:val="30"/>
          <w:szCs w:val="30"/>
        </w:rPr>
        <w:t>一、主要职责</w:t>
      </w:r>
      <w:bookmarkEnd w:id="1"/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u w:val="none"/>
        </w:rPr>
      </w:pPr>
      <w:bookmarkStart w:id="2" w:name="_Toc78784556"/>
      <w:r>
        <w:rPr>
          <w:rFonts w:hint="eastAsia" w:eastAsia="仿宋_GB2312"/>
          <w:sz w:val="30"/>
          <w:szCs w:val="30"/>
          <w:u w:val="none"/>
        </w:rPr>
        <w:t>天津市安定医院(天津市精神卫生中心)坐落于天津市河西区柳林路13号，始建于1946年。医院建筑面积78500平方米，编制床位1220张；是天津市唯一的三级甲等精神专科医疗机构，担负着全市精神卫生的医疗、教学、科研、预防、康复、社会服务和对外学术交流等任务，是天津市规模最大、业务种类最全、学科发展最优的精神卫生机构；是天津医科大学精神卫生临床学院及博硕士培养单位，是南开大学附属医院，天津医学高等专科学校和中南大学湘雅医学院的教学医院；是国家精神科住院医师规范化培训基地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u w:val="none"/>
        </w:rPr>
      </w:pPr>
      <w:r>
        <w:rPr>
          <w:rFonts w:hint="eastAsia" w:eastAsia="仿宋_GB2312"/>
          <w:sz w:val="30"/>
          <w:szCs w:val="30"/>
          <w:u w:val="none"/>
        </w:rPr>
        <w:t>医院诊疗面向全国各地的精神障碍患者及有心理问题的正常人，对治疗精神分裂症、抑郁症、双相障碍、焦虑症、强迫症、失眠症、酒依赖和各类躯体疾病伴发的精神障碍，以及各类遗传性、难治性、儿童性、老年性等精神疾病、正常人的心理问题都具有丰富的专科经验。服务范围不仅限于重性精神障碍患者，还服务于大量心理问题人群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u w:val="none"/>
        </w:rPr>
      </w:pPr>
      <w:r>
        <w:rPr>
          <w:rFonts w:hint="eastAsia" w:eastAsia="仿宋_GB2312"/>
          <w:sz w:val="30"/>
          <w:szCs w:val="30"/>
          <w:u w:val="none"/>
        </w:rPr>
        <w:t>医院坚持科教兴院，不断推动精神医学研究，2009年成立天津市精神卫生研究所，研究领域涉及生物精神病学、社会精神病学、临床心理、精神药理学、功能影像学、中西医结合、儿童精神病学、行为医学八个方向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u w:val="none"/>
        </w:rPr>
      </w:pPr>
      <w:r>
        <w:rPr>
          <w:rFonts w:hint="eastAsia" w:eastAsia="仿宋_GB2312"/>
          <w:sz w:val="30"/>
          <w:szCs w:val="30"/>
          <w:u w:val="none"/>
        </w:rPr>
        <w:t>医院不断推动学术与国际接轨，加大对外交流合作，近几年，医院与荷兰格兰宁根大学、瑞典卡罗林斯卡大学、美国马萨诸塞州立大学等建立了深层次的学术交流和项目合作关系，多次举办精神医学国际性论坛、儿童青少年心理学术会议，培养了一批中青年科研与临床骨干，促进了医疗、教学、科研、预防和康复的全面发展。</w:t>
      </w:r>
    </w:p>
    <w:p>
      <w:pPr>
        <w:spacing w:line="600" w:lineRule="exact"/>
        <w:ind w:firstLine="600" w:firstLineChars="200"/>
        <w:rPr>
          <w:rFonts w:eastAsia="黑体"/>
          <w:sz w:val="30"/>
          <w:szCs w:val="30"/>
          <w:u w:val="none"/>
        </w:rPr>
      </w:pPr>
      <w:r>
        <w:rPr>
          <w:rFonts w:hint="eastAsia" w:eastAsia="仿宋_GB2312"/>
          <w:sz w:val="30"/>
          <w:szCs w:val="30"/>
          <w:u w:val="none"/>
        </w:rPr>
        <w:t>多年来，天津安定人始终秉承“务实、进取、仁爱、奉献”的院训，本着“用我们的爱心，让精神障碍患者早日重返社会”的宗旨，使医院实现了跨越式发展。多年来，医院领导始终坚持“发展医院、服务社会、成就职工”的办院方针，教育引导全院职工牢固树立“患者需求至上”的服务理念，努力实现“让每个人都拥有一个健康的心灵”的美好愿景。</w:t>
      </w:r>
    </w:p>
    <w:p>
      <w:pPr>
        <w:pStyle w:val="3"/>
        <w:spacing w:line="600" w:lineRule="exact"/>
        <w:ind w:firstLine="602" w:firstLineChars="200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二、机构设置</w:t>
      </w:r>
      <w:bookmarkEnd w:id="2"/>
      <w:r>
        <w:rPr>
          <w:rFonts w:hint="eastAsia" w:ascii="黑体" w:hAnsi="黑体" w:eastAsia="黑体"/>
          <w:sz w:val="30"/>
          <w:szCs w:val="30"/>
        </w:rPr>
        <w:t>情况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  <w:u w:val="none"/>
        </w:rPr>
      </w:pPr>
      <w:r>
        <w:rPr>
          <w:rFonts w:eastAsia="仿宋_GB2312"/>
          <w:sz w:val="30"/>
          <w:szCs w:val="30"/>
          <w:u w:val="none"/>
        </w:rPr>
        <w:t>天津市安定医院内设1</w:t>
      </w:r>
      <w:r>
        <w:rPr>
          <w:rFonts w:hint="eastAsia" w:eastAsia="仿宋_GB2312"/>
          <w:sz w:val="30"/>
          <w:szCs w:val="30"/>
          <w:u w:val="none"/>
        </w:rPr>
        <w:t>9</w:t>
      </w:r>
      <w:r>
        <w:rPr>
          <w:rFonts w:eastAsia="仿宋_GB2312"/>
          <w:sz w:val="30"/>
          <w:szCs w:val="30"/>
          <w:u w:val="none"/>
        </w:rPr>
        <w:t>个职能</w:t>
      </w:r>
      <w:r>
        <w:rPr>
          <w:rFonts w:hint="eastAsia" w:eastAsia="仿宋_GB2312"/>
          <w:sz w:val="30"/>
          <w:szCs w:val="30"/>
          <w:u w:val="none"/>
        </w:rPr>
        <w:t>科</w:t>
      </w:r>
      <w:r>
        <w:rPr>
          <w:rFonts w:eastAsia="仿宋_GB2312"/>
          <w:sz w:val="30"/>
          <w:szCs w:val="30"/>
          <w:u w:val="none"/>
        </w:rPr>
        <w:t>室，包括</w:t>
      </w:r>
      <w:r>
        <w:rPr>
          <w:rFonts w:hint="eastAsia" w:eastAsia="仿宋_GB2312"/>
          <w:sz w:val="30"/>
          <w:szCs w:val="30"/>
          <w:u w:val="none"/>
        </w:rPr>
        <w:t>党委办公室、组织科、宣传科、纪律检查办公室、院长办公室、人事科、财务科、医务科、护理部、门诊办公室、医保科、审计科、科教科、保卫科、总务科、网络信息科、绩效管理科、设备物资科、</w:t>
      </w:r>
      <w:r>
        <w:rPr>
          <w:rFonts w:hint="eastAsia" w:eastAsia="仿宋_GB2312"/>
          <w:sz w:val="30"/>
          <w:szCs w:val="30"/>
          <w:u w:val="none"/>
          <w:lang w:eastAsia="zh-CN"/>
        </w:rPr>
        <w:t>公共卫生</w:t>
      </w:r>
      <w:r>
        <w:rPr>
          <w:rFonts w:hint="eastAsia" w:eastAsia="仿宋_GB2312"/>
          <w:sz w:val="30"/>
          <w:szCs w:val="30"/>
          <w:u w:val="none"/>
        </w:rPr>
        <w:t>科；业务科室有普通精神科、临床心理科、儿童青少年心理科、心境障碍科、中西医结合科、成瘾戒断科、老年科、针灸科、康复科、社区预防科、感染</w:t>
      </w:r>
      <w:r>
        <w:rPr>
          <w:rFonts w:hint="eastAsia" w:eastAsia="仿宋_GB2312"/>
          <w:sz w:val="30"/>
          <w:szCs w:val="30"/>
          <w:u w:val="none"/>
          <w:lang w:eastAsia="zh-CN"/>
        </w:rPr>
        <w:t>管理</w:t>
      </w:r>
      <w:r>
        <w:rPr>
          <w:rFonts w:hint="eastAsia" w:eastAsia="仿宋_GB2312"/>
          <w:sz w:val="30"/>
          <w:szCs w:val="30"/>
          <w:u w:val="none"/>
        </w:rPr>
        <w:t>科、睡眠科等特色科室。</w:t>
      </w:r>
    </w:p>
    <w:p>
      <w:pPr>
        <w:spacing w:line="600" w:lineRule="exact"/>
        <w:ind w:firstLine="600"/>
        <w:jc w:val="both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纳入</w:t>
      </w: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2023年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预算编制范围的预算单位包括：</w:t>
      </w:r>
    </w:p>
    <w:p>
      <w:pPr>
        <w:spacing w:line="600" w:lineRule="exact"/>
        <w:ind w:firstLine="600"/>
        <w:jc w:val="both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1.</w:t>
      </w: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本级</w:t>
      </w:r>
    </w:p>
    <w:p>
      <w:pPr>
        <w:pStyle w:val="2"/>
        <w:spacing w:line="600" w:lineRule="exact"/>
        <w:jc w:val="center"/>
        <w:rPr>
          <w:rFonts w:ascii="方正小标宋简体" w:hAnsi="方正小标宋简体" w:eastAsia="方正小标宋简体" w:cs="方正小标宋简体"/>
          <w:b w:val="0"/>
          <w:sz w:val="48"/>
          <w:szCs w:val="48"/>
        </w:rPr>
      </w:pPr>
      <w:bookmarkStart w:id="3" w:name="_Toc78784570"/>
      <w:r>
        <w:rPr>
          <w:rFonts w:ascii="方正小标宋简体" w:hAnsi="方正小标宋简体" w:eastAsia="方正小标宋简体" w:cs="方正小标宋简体"/>
          <w:b w:val="0"/>
          <w:sz w:val="48"/>
          <w:szCs w:val="48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二</w:t>
      </w:r>
      <w:r>
        <w:rPr>
          <w:rFonts w:ascii="方正小标宋简体" w:hAnsi="方正小标宋简体" w:eastAsia="方正小标宋简体" w:cs="方正小标宋简体"/>
          <w:b w:val="0"/>
          <w:sz w:val="48"/>
          <w:szCs w:val="48"/>
        </w:rPr>
        <w:t xml:space="preserve">部分  </w:t>
      </w:r>
      <w:r>
        <w:rPr>
          <w:rFonts w:hint="eastAsia"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2023</w:t>
      </w:r>
      <w:r>
        <w:rPr>
          <w:rFonts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spacing w:val="-20"/>
          <w:sz w:val="48"/>
          <w:szCs w:val="48"/>
          <w:lang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预算情况</w:t>
      </w:r>
      <w:r>
        <w:rPr>
          <w:rFonts w:ascii="方正小标宋简体" w:hAnsi="方正小标宋简体" w:eastAsia="方正小标宋简体" w:cs="方正小标宋简体"/>
          <w:b w:val="0"/>
          <w:spacing w:val="-20"/>
          <w:sz w:val="48"/>
          <w:szCs w:val="48"/>
        </w:rPr>
        <w:t>说明</w:t>
      </w:r>
      <w:bookmarkEnd w:id="3"/>
    </w:p>
    <w:p>
      <w:pPr>
        <w:spacing w:line="600" w:lineRule="exact"/>
        <w:ind w:firstLine="600" w:firstLineChars="200"/>
        <w:rPr>
          <w:rFonts w:hint="eastAsia" w:ascii="黑体" w:eastAsia="黑体"/>
          <w:sz w:val="30"/>
          <w:szCs w:val="30"/>
        </w:rPr>
      </w:pP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/>
          <w:b w:val="0"/>
          <w:sz w:val="30"/>
          <w:szCs w:val="30"/>
        </w:rPr>
      </w:pPr>
      <w:bookmarkStart w:id="4" w:name="_Toc78784571"/>
      <w:r>
        <w:rPr>
          <w:rFonts w:hint="eastAsia" w:ascii="黑体" w:hAnsi="黑体" w:eastAsia="黑体"/>
          <w:b w:val="0"/>
          <w:sz w:val="30"/>
          <w:szCs w:val="30"/>
        </w:rPr>
        <w:t>一、关于收支总体情况</w:t>
      </w:r>
      <w:bookmarkEnd w:id="4"/>
      <w:r>
        <w:rPr>
          <w:rFonts w:hint="eastAsia" w:ascii="黑体" w:hAnsi="黑体" w:eastAsia="黑体"/>
          <w:b w:val="0"/>
          <w:sz w:val="30"/>
          <w:szCs w:val="30"/>
        </w:rPr>
        <w:t>表的说明</w:t>
      </w:r>
    </w:p>
    <w:p>
      <w:pPr>
        <w:spacing w:line="600" w:lineRule="exact"/>
        <w:ind w:firstLine="150" w:firstLineChars="5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    按照综合预算的原则，</w:t>
      </w: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所有收入和支出均纳入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预算管理。收入包括：一般公共预算拨款收入</w:t>
      </w:r>
      <w:r>
        <w:rPr>
          <w:rFonts w:hint="eastAsia" w:eastAsia="仿宋_GB2312"/>
          <w:sz w:val="30"/>
          <w:szCs w:val="30"/>
          <w:u w:val="single"/>
        </w:rPr>
        <w:t>7180.26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政府性基金预算拨款收入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国有资本经营预算拨款收入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、财政专户管理资金收入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、事业收入</w:t>
      </w:r>
      <w:r>
        <w:rPr>
          <w:rFonts w:hint="eastAsia" w:eastAsia="仿宋_GB2312"/>
          <w:sz w:val="30"/>
          <w:szCs w:val="30"/>
          <w:u w:val="single"/>
        </w:rPr>
        <w:t>44540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事业单位经营收入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上级补助收入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附属单位上缴收入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、其他收入</w:t>
      </w:r>
      <w:r>
        <w:rPr>
          <w:rFonts w:hint="eastAsia" w:eastAsia="仿宋_GB2312"/>
          <w:sz w:val="30"/>
          <w:szCs w:val="30"/>
          <w:u w:val="single"/>
        </w:rPr>
        <w:t>2370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、</w:t>
      </w:r>
      <w:r>
        <w:rPr>
          <w:rFonts w:eastAsia="仿宋_GB2312"/>
          <w:sz w:val="30"/>
          <w:szCs w:val="30"/>
        </w:rPr>
        <w:t>上年结转结余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；支出包括：社会保障和就业支出</w:t>
      </w:r>
      <w:r>
        <w:rPr>
          <w:rFonts w:hint="eastAsia" w:eastAsia="仿宋_GB2312"/>
          <w:sz w:val="30"/>
          <w:szCs w:val="30"/>
          <w:u w:val="single"/>
        </w:rPr>
        <w:t>2173.2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、卫生健康支出</w:t>
      </w:r>
      <w:r>
        <w:rPr>
          <w:rFonts w:hint="eastAsia" w:eastAsia="仿宋_GB2312"/>
          <w:sz w:val="30"/>
          <w:szCs w:val="30"/>
          <w:u w:val="single"/>
        </w:rPr>
        <w:t>51917.06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。</w:t>
      </w: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2023年收支总预算</w:t>
      </w:r>
      <w:r>
        <w:rPr>
          <w:rFonts w:hint="eastAsia" w:eastAsia="仿宋_GB2312"/>
          <w:sz w:val="30"/>
          <w:szCs w:val="30"/>
          <w:u w:val="single"/>
        </w:rPr>
        <w:t>54090.26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。</w:t>
      </w: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 w:cs="仿宋_GB2312"/>
          <w:b w:val="0"/>
          <w:sz w:val="30"/>
          <w:szCs w:val="30"/>
        </w:rPr>
      </w:pPr>
      <w:bookmarkStart w:id="5" w:name="_Toc78784572"/>
      <w:r>
        <w:rPr>
          <w:rFonts w:hint="eastAsia" w:ascii="黑体" w:hAnsi="黑体" w:eastAsia="黑体" w:cs="仿宋_GB2312"/>
          <w:b w:val="0"/>
          <w:sz w:val="30"/>
          <w:szCs w:val="30"/>
        </w:rPr>
        <w:t>二、关于收入总体情况</w:t>
      </w:r>
      <w:bookmarkEnd w:id="5"/>
      <w:r>
        <w:rPr>
          <w:rFonts w:hint="eastAsia" w:ascii="黑体" w:hAnsi="黑体" w:eastAsia="黑体" w:cs="仿宋_GB2312"/>
          <w:b w:val="0"/>
          <w:sz w:val="30"/>
          <w:szCs w:val="30"/>
        </w:rPr>
        <w:t>表的说明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2023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收入</w:t>
      </w:r>
      <w:r>
        <w:rPr>
          <w:rFonts w:hint="eastAsia" w:eastAsia="仿宋_GB2312"/>
          <w:sz w:val="30"/>
          <w:szCs w:val="30"/>
          <w:u w:val="single"/>
        </w:rPr>
        <w:t>54090.26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</w:rPr>
        <w:t>2022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</w:t>
      </w:r>
      <w:r>
        <w:rPr>
          <w:rFonts w:eastAsia="仿宋_GB2312"/>
          <w:sz w:val="30"/>
          <w:szCs w:val="30"/>
        </w:rPr>
        <w:t>算相比增加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5682.5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eastAsia="zh-CN"/>
        </w:rPr>
        <w:t>事业收入增加</w:t>
      </w:r>
      <w:r>
        <w:rPr>
          <w:rFonts w:hint="eastAsia" w:eastAsia="仿宋_GB2312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其中：</w:t>
      </w:r>
      <w:r>
        <w:rPr>
          <w:rFonts w:hint="eastAsia" w:eastAsia="仿宋_GB2312"/>
          <w:sz w:val="30"/>
          <w:szCs w:val="30"/>
        </w:rPr>
        <w:t>上年结转结余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%；一般公共预算</w:t>
      </w:r>
      <w:r>
        <w:rPr>
          <w:rFonts w:hint="eastAsia" w:eastAsia="仿宋_GB2312"/>
          <w:sz w:val="30"/>
          <w:szCs w:val="30"/>
          <w:u w:val="single"/>
        </w:rPr>
        <w:t>7180.26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13.28</w:t>
      </w:r>
      <w:bookmarkStart w:id="14" w:name="_GoBack"/>
      <w:bookmarkEnd w:id="14"/>
      <w:r>
        <w:rPr>
          <w:rFonts w:eastAsia="仿宋_GB2312"/>
          <w:sz w:val="30"/>
          <w:szCs w:val="30"/>
        </w:rPr>
        <w:t>%；政府性基金预算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%；国有资本经营预算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</w:t>
      </w:r>
      <w:r>
        <w:rPr>
          <w:rFonts w:hint="eastAsia" w:eastAsia="仿宋_GB2312"/>
          <w:sz w:val="30"/>
          <w:szCs w:val="30"/>
        </w:rPr>
        <w:t>财政专户管理资金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%；事业收入</w:t>
      </w:r>
      <w:r>
        <w:rPr>
          <w:rFonts w:hint="eastAsia" w:eastAsia="仿宋_GB2312"/>
          <w:sz w:val="30"/>
          <w:szCs w:val="30"/>
          <w:u w:val="single"/>
        </w:rPr>
        <w:t>44540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82.34</w:t>
      </w:r>
      <w:r>
        <w:rPr>
          <w:rFonts w:eastAsia="仿宋_GB2312"/>
          <w:sz w:val="30"/>
          <w:szCs w:val="30"/>
        </w:rPr>
        <w:t>%；</w:t>
      </w:r>
      <w:r>
        <w:rPr>
          <w:rFonts w:hint="eastAsia" w:eastAsia="仿宋_GB2312"/>
          <w:sz w:val="30"/>
          <w:szCs w:val="30"/>
        </w:rPr>
        <w:t>事业单位</w:t>
      </w:r>
      <w:r>
        <w:rPr>
          <w:rFonts w:eastAsia="仿宋_GB2312"/>
          <w:sz w:val="30"/>
          <w:szCs w:val="30"/>
        </w:rPr>
        <w:t>经营收入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%；上级补助收入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%；附属单位上缴收入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%；其他收入</w:t>
      </w:r>
      <w:r>
        <w:rPr>
          <w:rFonts w:hint="eastAsia" w:eastAsia="仿宋_GB2312"/>
          <w:sz w:val="30"/>
          <w:szCs w:val="30"/>
          <w:u w:val="single"/>
        </w:rPr>
        <w:t>2370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4.38</w:t>
      </w:r>
      <w:r>
        <w:rPr>
          <w:rFonts w:eastAsia="仿宋_GB2312"/>
          <w:sz w:val="30"/>
          <w:szCs w:val="30"/>
        </w:rPr>
        <w:t>%</w:t>
      </w:r>
      <w:r>
        <w:rPr>
          <w:rFonts w:hint="eastAsia" w:eastAsia="仿宋_GB2312"/>
          <w:sz w:val="30"/>
          <w:szCs w:val="30"/>
        </w:rPr>
        <w:t>。</w:t>
      </w: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 w:cs="仿宋_GB2312"/>
          <w:b w:val="0"/>
          <w:sz w:val="30"/>
          <w:szCs w:val="30"/>
        </w:rPr>
      </w:pPr>
      <w:bookmarkStart w:id="6" w:name="_Toc78784573"/>
      <w:r>
        <w:rPr>
          <w:rFonts w:hint="eastAsia" w:ascii="黑体" w:hAnsi="黑体" w:eastAsia="黑体" w:cs="仿宋_GB2312"/>
          <w:b w:val="0"/>
          <w:sz w:val="30"/>
          <w:szCs w:val="30"/>
        </w:rPr>
        <w:t>三、关于</w:t>
      </w:r>
      <w:r>
        <w:rPr>
          <w:rFonts w:ascii="黑体" w:hAnsi="黑体" w:eastAsia="黑体" w:cs="仿宋_GB2312"/>
          <w:b w:val="0"/>
          <w:sz w:val="30"/>
          <w:szCs w:val="30"/>
        </w:rPr>
        <w:t>支出</w:t>
      </w:r>
      <w:r>
        <w:rPr>
          <w:rFonts w:hint="eastAsia" w:ascii="黑体" w:hAnsi="黑体" w:eastAsia="黑体" w:cs="仿宋_GB2312"/>
          <w:b w:val="0"/>
          <w:sz w:val="30"/>
          <w:szCs w:val="30"/>
        </w:rPr>
        <w:t>总体情况表</w:t>
      </w:r>
      <w:bookmarkEnd w:id="6"/>
      <w:r>
        <w:rPr>
          <w:rFonts w:hint="eastAsia" w:ascii="黑体" w:hAnsi="黑体" w:eastAsia="黑体" w:cs="仿宋_GB2312"/>
          <w:b w:val="0"/>
          <w:sz w:val="30"/>
          <w:szCs w:val="30"/>
        </w:rPr>
        <w:t>的说明</w:t>
      </w:r>
    </w:p>
    <w:p>
      <w:pPr>
        <w:spacing w:line="6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2023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支出预算</w:t>
      </w:r>
      <w:r>
        <w:rPr>
          <w:rFonts w:hint="eastAsia" w:eastAsia="仿宋_GB2312"/>
          <w:sz w:val="30"/>
          <w:szCs w:val="30"/>
          <w:u w:val="single"/>
        </w:rPr>
        <w:t>54090.26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</w:rPr>
        <w:t>2022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</w:t>
      </w:r>
      <w:r>
        <w:rPr>
          <w:rFonts w:eastAsia="仿宋_GB2312"/>
          <w:sz w:val="30"/>
          <w:szCs w:val="30"/>
        </w:rPr>
        <w:t>算相比增加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5682.5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事业支出增加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其中：基本支出</w:t>
      </w:r>
      <w:r>
        <w:rPr>
          <w:rFonts w:hint="eastAsia" w:eastAsia="仿宋_GB2312"/>
          <w:sz w:val="30"/>
          <w:szCs w:val="30"/>
          <w:u w:val="single"/>
        </w:rPr>
        <w:t>49896.3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92.25</w:t>
      </w:r>
      <w:r>
        <w:rPr>
          <w:rFonts w:eastAsia="仿宋_GB2312"/>
          <w:sz w:val="30"/>
          <w:szCs w:val="30"/>
        </w:rPr>
        <w:t>%；项目支出</w:t>
      </w:r>
      <w:r>
        <w:rPr>
          <w:rFonts w:hint="eastAsia" w:eastAsia="仿宋_GB2312"/>
          <w:sz w:val="30"/>
          <w:szCs w:val="30"/>
          <w:u w:val="single"/>
        </w:rPr>
        <w:t>4193.96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7.75</w:t>
      </w:r>
      <w:r>
        <w:rPr>
          <w:rFonts w:eastAsia="仿宋_GB2312"/>
          <w:sz w:val="30"/>
          <w:szCs w:val="30"/>
        </w:rPr>
        <w:t>%；</w:t>
      </w:r>
      <w:r>
        <w:rPr>
          <w:rFonts w:hint="eastAsia" w:eastAsia="仿宋_GB2312"/>
          <w:sz w:val="30"/>
          <w:szCs w:val="30"/>
        </w:rPr>
        <w:t>事业单位经营支出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%；上缴上级支出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%；</w:t>
      </w:r>
      <w:r>
        <w:rPr>
          <w:rFonts w:hint="eastAsia" w:eastAsia="仿宋_GB2312"/>
          <w:sz w:val="30"/>
          <w:szCs w:val="30"/>
        </w:rPr>
        <w:t>对附属单位补助支出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%</w:t>
      </w:r>
      <w:r>
        <w:rPr>
          <w:rFonts w:hint="eastAsia" w:eastAsia="仿宋_GB2312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 xml:space="preserve"> </w:t>
      </w: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/>
          <w:b w:val="0"/>
          <w:sz w:val="30"/>
          <w:szCs w:val="30"/>
        </w:rPr>
      </w:pPr>
      <w:bookmarkStart w:id="7" w:name="_Toc78784574"/>
      <w:r>
        <w:rPr>
          <w:rFonts w:hint="eastAsia" w:ascii="黑体" w:hAnsi="黑体" w:eastAsia="黑体"/>
          <w:b w:val="0"/>
          <w:sz w:val="30"/>
          <w:szCs w:val="30"/>
        </w:rPr>
        <w:t>四、关于财政拨款收支总体情况表</w:t>
      </w:r>
      <w:bookmarkEnd w:id="7"/>
      <w:r>
        <w:rPr>
          <w:rFonts w:hint="eastAsia" w:ascii="黑体" w:hAnsi="黑体" w:eastAsia="黑体"/>
          <w:b w:val="0"/>
          <w:sz w:val="30"/>
          <w:szCs w:val="30"/>
        </w:rPr>
        <w:t>的说明</w:t>
      </w:r>
    </w:p>
    <w:p>
      <w:pPr>
        <w:spacing w:line="600" w:lineRule="exact"/>
        <w:ind w:firstLine="6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2023年财政拨款收入预算</w:t>
      </w:r>
      <w:r>
        <w:rPr>
          <w:rFonts w:hint="eastAsia" w:eastAsia="仿宋_GB2312"/>
          <w:sz w:val="30"/>
          <w:szCs w:val="30"/>
          <w:u w:val="single"/>
        </w:rPr>
        <w:t>7180.26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hint="eastAsia" w:eastAsia="仿宋_GB2312"/>
          <w:sz w:val="30"/>
          <w:szCs w:val="30"/>
        </w:rPr>
        <w:t>2022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</w:t>
      </w:r>
      <w:r>
        <w:rPr>
          <w:rFonts w:eastAsia="仿宋_GB2312"/>
          <w:sz w:val="30"/>
          <w:szCs w:val="30"/>
        </w:rPr>
        <w:t>算相比增加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198.5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财政项目拨款增加</w:t>
      </w:r>
      <w:r>
        <w:rPr>
          <w:rFonts w:hint="eastAsia" w:eastAsia="仿宋_GB2312"/>
          <w:sz w:val="30"/>
          <w:szCs w:val="30"/>
        </w:rPr>
        <w:t>。收入包括：一般公共预算拨款收入</w:t>
      </w:r>
      <w:r>
        <w:rPr>
          <w:rFonts w:hint="eastAsia" w:eastAsia="仿宋_GB2312"/>
          <w:sz w:val="30"/>
          <w:szCs w:val="30"/>
          <w:u w:val="single"/>
        </w:rPr>
        <w:t>7180.26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政府性基金预算拨款收入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国有资本经营预算拨款收入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万元、</w:t>
      </w:r>
      <w:r>
        <w:rPr>
          <w:rFonts w:hint="eastAsia" w:eastAsia="仿宋_GB2312"/>
          <w:sz w:val="30"/>
          <w:szCs w:val="30"/>
        </w:rPr>
        <w:t>上年财政结转结余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。2023年财政拨款支出预算</w:t>
      </w:r>
      <w:r>
        <w:rPr>
          <w:rFonts w:hint="eastAsia" w:eastAsia="仿宋_GB2312"/>
          <w:sz w:val="30"/>
          <w:szCs w:val="30"/>
          <w:u w:val="single"/>
        </w:rPr>
        <w:t>7180.26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hint="eastAsia" w:eastAsia="仿宋_GB2312"/>
          <w:sz w:val="30"/>
          <w:szCs w:val="30"/>
        </w:rPr>
        <w:t>2022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</w:t>
      </w:r>
      <w:r>
        <w:rPr>
          <w:rFonts w:eastAsia="仿宋_GB2312"/>
          <w:sz w:val="30"/>
          <w:szCs w:val="30"/>
        </w:rPr>
        <w:t>算相比增加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198.5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财政项目拨款增加</w:t>
      </w:r>
      <w:r>
        <w:rPr>
          <w:rFonts w:hint="eastAsia" w:eastAsia="仿宋_GB2312"/>
          <w:sz w:val="30"/>
          <w:szCs w:val="30"/>
        </w:rPr>
        <w:t>。支出包括：社会保障和就业支出</w:t>
      </w:r>
      <w:r>
        <w:rPr>
          <w:rFonts w:hint="eastAsia" w:eastAsia="仿宋_GB2312"/>
          <w:sz w:val="30"/>
          <w:szCs w:val="30"/>
          <w:u w:val="single"/>
        </w:rPr>
        <w:t>2173.2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、卫生健康支出</w:t>
      </w:r>
      <w:r>
        <w:rPr>
          <w:rFonts w:hint="eastAsia" w:eastAsia="仿宋_GB2312"/>
          <w:sz w:val="30"/>
          <w:szCs w:val="30"/>
          <w:u w:val="single"/>
        </w:rPr>
        <w:t>5007.06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。</w:t>
      </w: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/>
          <w:b w:val="0"/>
          <w:sz w:val="30"/>
          <w:szCs w:val="30"/>
        </w:rPr>
      </w:pPr>
      <w:bookmarkStart w:id="8" w:name="_Toc78784575"/>
      <w:r>
        <w:rPr>
          <w:rFonts w:ascii="黑体" w:hAnsi="黑体" w:eastAsia="黑体"/>
          <w:b w:val="0"/>
          <w:sz w:val="30"/>
          <w:szCs w:val="30"/>
        </w:rPr>
        <w:t>五</w:t>
      </w:r>
      <w:r>
        <w:rPr>
          <w:rFonts w:hint="eastAsia" w:ascii="黑体" w:hAnsi="黑体" w:eastAsia="黑体"/>
          <w:b w:val="0"/>
          <w:sz w:val="30"/>
          <w:szCs w:val="30"/>
        </w:rPr>
        <w:t>、关于</w:t>
      </w:r>
      <w:r>
        <w:rPr>
          <w:rFonts w:ascii="黑体" w:hAnsi="黑体" w:eastAsia="黑体"/>
          <w:b w:val="0"/>
          <w:sz w:val="30"/>
          <w:szCs w:val="30"/>
        </w:rPr>
        <w:t>一般公共预算支出</w:t>
      </w:r>
      <w:r>
        <w:rPr>
          <w:rFonts w:hint="eastAsia" w:ascii="黑体" w:hAnsi="黑体" w:eastAsia="黑体"/>
          <w:b w:val="0"/>
          <w:sz w:val="30"/>
          <w:szCs w:val="30"/>
        </w:rPr>
        <w:t>情况表</w:t>
      </w:r>
      <w:bookmarkEnd w:id="8"/>
      <w:r>
        <w:rPr>
          <w:rFonts w:hint="eastAsia" w:ascii="黑体" w:hAnsi="黑体" w:eastAsia="黑体"/>
          <w:b w:val="0"/>
          <w:sz w:val="30"/>
          <w:szCs w:val="30"/>
        </w:rPr>
        <w:t>的说明</w:t>
      </w:r>
    </w:p>
    <w:p>
      <w:pPr>
        <w:spacing w:line="600" w:lineRule="exact"/>
        <w:ind w:left="480" w:leftChars="200"/>
        <w:rPr>
          <w:rFonts w:hint="eastAsia" w:ascii="楷体" w:hAnsi="楷体" w:eastAsia="楷体" w:cs="仿宋_GB2312"/>
          <w:b/>
          <w:sz w:val="30"/>
          <w:szCs w:val="30"/>
        </w:rPr>
      </w:pPr>
      <w:r>
        <w:rPr>
          <w:rFonts w:hint="eastAsia" w:ascii="楷体" w:hAnsi="楷体" w:eastAsia="楷体" w:cs="仿宋_GB2312"/>
          <w:b/>
          <w:sz w:val="30"/>
          <w:szCs w:val="30"/>
        </w:rPr>
        <w:t>（一）总体情况。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hint="eastAsia" w:eastAsia="仿宋_GB2312"/>
          <w:sz w:val="30"/>
          <w:szCs w:val="30"/>
        </w:rPr>
        <w:t>2023年一般公共预算支出</w:t>
      </w:r>
      <w:r>
        <w:rPr>
          <w:rFonts w:hint="eastAsia" w:eastAsia="仿宋_GB2312"/>
          <w:sz w:val="30"/>
          <w:szCs w:val="30"/>
          <w:u w:val="single"/>
        </w:rPr>
        <w:t>7180.26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</w:t>
      </w:r>
      <w:r>
        <w:rPr>
          <w:rFonts w:eastAsia="仿宋_GB2312"/>
          <w:sz w:val="30"/>
          <w:szCs w:val="30"/>
        </w:rPr>
        <w:t>算相比增加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198.5</w:t>
      </w:r>
      <w:r>
        <w:rPr>
          <w:rFonts w:hint="eastAsia" w:eastAsia="仿宋_GB2312"/>
          <w:sz w:val="30"/>
          <w:szCs w:val="30"/>
        </w:rPr>
        <w:t>万</w:t>
      </w:r>
      <w:r>
        <w:rPr>
          <w:rFonts w:eastAsia="仿宋_GB2312"/>
          <w:sz w:val="30"/>
          <w:szCs w:val="30"/>
        </w:rPr>
        <w:t>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财政项目拨款增加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600" w:lineRule="exact"/>
        <w:ind w:firstLine="602" w:firstLineChars="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 w:cs="仿宋_GB2312"/>
          <w:b/>
          <w:sz w:val="30"/>
          <w:szCs w:val="30"/>
        </w:rPr>
        <w:t>（二）</w:t>
      </w:r>
      <w:r>
        <w:rPr>
          <w:rFonts w:ascii="楷体" w:hAnsi="楷体" w:eastAsia="楷体" w:cs="仿宋_GB2312"/>
          <w:b/>
          <w:sz w:val="30"/>
          <w:szCs w:val="30"/>
        </w:rPr>
        <w:t>具体情况</w:t>
      </w:r>
      <w:r>
        <w:rPr>
          <w:rFonts w:hint="eastAsia" w:ascii="楷体" w:hAnsi="楷体" w:eastAsia="楷体" w:cs="仿宋_GB2312"/>
          <w:b/>
          <w:sz w:val="30"/>
          <w:szCs w:val="30"/>
        </w:rPr>
        <w:t>。</w:t>
      </w:r>
    </w:p>
    <w:p>
      <w:pPr>
        <w:numPr>
          <w:ilvl w:val="0"/>
          <w:numId w:val="1"/>
        </w:numPr>
        <w:spacing w:line="5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“</w:t>
      </w:r>
      <w:r>
        <w:rPr>
          <w:rFonts w:hint="eastAsia" w:eastAsia="仿宋_GB2312"/>
          <w:sz w:val="30"/>
          <w:szCs w:val="30"/>
        </w:rPr>
        <w:t>社会保障和就业支出”</w:t>
      </w:r>
      <w:r>
        <w:rPr>
          <w:rFonts w:hint="eastAsia" w:eastAsia="仿宋_GB2312"/>
          <w:sz w:val="30"/>
          <w:szCs w:val="30"/>
          <w:u w:val="single"/>
        </w:rPr>
        <w:t>2173.2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</w:t>
      </w:r>
      <w:r>
        <w:rPr>
          <w:rFonts w:eastAsia="仿宋_GB2312"/>
          <w:sz w:val="30"/>
          <w:szCs w:val="30"/>
        </w:rPr>
        <w:t>算相比增加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25.5</w:t>
      </w:r>
      <w:r>
        <w:rPr>
          <w:rFonts w:hint="eastAsia" w:eastAsia="仿宋_GB2312"/>
          <w:sz w:val="30"/>
          <w:szCs w:val="30"/>
        </w:rPr>
        <w:t>万</w:t>
      </w:r>
      <w:r>
        <w:rPr>
          <w:rFonts w:eastAsia="仿宋_GB2312"/>
          <w:sz w:val="30"/>
          <w:szCs w:val="30"/>
        </w:rPr>
        <w:t>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职工人员数量变化</w:t>
      </w:r>
      <w:r>
        <w:rPr>
          <w:rFonts w:eastAsia="仿宋_GB2312"/>
          <w:sz w:val="30"/>
          <w:szCs w:val="30"/>
        </w:rPr>
        <w:t>，其中：</w:t>
      </w:r>
    </w:p>
    <w:p>
      <w:pPr>
        <w:spacing w:line="58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“行政事业单位养老支出”</w:t>
      </w:r>
      <w:r>
        <w:rPr>
          <w:rFonts w:hint="eastAsia" w:eastAsia="仿宋_GB2312"/>
          <w:sz w:val="30"/>
          <w:szCs w:val="30"/>
          <w:u w:val="single"/>
        </w:rPr>
        <w:t>2173.2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包括</w:t>
      </w:r>
      <w:r>
        <w:rPr>
          <w:rFonts w:eastAsia="仿宋_GB2312"/>
          <w:sz w:val="30"/>
          <w:szCs w:val="30"/>
        </w:rPr>
        <w:t>：</w:t>
      </w:r>
      <w:r>
        <w:rPr>
          <w:rFonts w:hint="eastAsia" w:eastAsia="仿宋_GB2312"/>
          <w:sz w:val="30"/>
          <w:szCs w:val="30"/>
        </w:rPr>
        <w:t>“机关事业单位基本养老保险缴费支出”</w:t>
      </w:r>
      <w:r>
        <w:rPr>
          <w:rFonts w:hint="eastAsia" w:eastAsia="仿宋_GB2312"/>
          <w:sz w:val="30"/>
          <w:szCs w:val="30"/>
          <w:u w:val="single"/>
        </w:rPr>
        <w:t>1448.8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eastAsia="仿宋_GB2312"/>
          <w:sz w:val="30"/>
          <w:szCs w:val="30"/>
          <w:u w:val="single"/>
        </w:rPr>
        <w:t>机关事业单位基本养老保险缴费</w:t>
      </w:r>
      <w:r>
        <w:rPr>
          <w:rFonts w:eastAsia="仿宋_GB2312"/>
          <w:sz w:val="30"/>
          <w:szCs w:val="30"/>
        </w:rPr>
        <w:t>；</w:t>
      </w:r>
      <w:r>
        <w:rPr>
          <w:rFonts w:hint="eastAsia" w:eastAsia="仿宋_GB2312"/>
          <w:sz w:val="30"/>
          <w:szCs w:val="30"/>
        </w:rPr>
        <w:t>“机关事业单位职业年金缴费支出”</w:t>
      </w:r>
      <w:r>
        <w:rPr>
          <w:rFonts w:hint="eastAsia" w:eastAsia="仿宋_GB2312"/>
          <w:sz w:val="30"/>
          <w:szCs w:val="30"/>
          <w:u w:val="single"/>
        </w:rPr>
        <w:t>724.4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eastAsia="仿宋_GB2312"/>
          <w:sz w:val="30"/>
          <w:szCs w:val="30"/>
          <w:u w:val="single"/>
        </w:rPr>
        <w:t>机关事业单位职业年金缴费</w:t>
      </w:r>
      <w:r>
        <w:rPr>
          <w:rFonts w:eastAsia="仿宋_GB2312"/>
          <w:sz w:val="30"/>
          <w:szCs w:val="30"/>
        </w:rPr>
        <w:t>；</w:t>
      </w:r>
    </w:p>
    <w:p>
      <w:pPr>
        <w:numPr>
          <w:ilvl w:val="0"/>
          <w:numId w:val="1"/>
        </w:numPr>
        <w:spacing w:line="5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“</w:t>
      </w:r>
      <w:r>
        <w:rPr>
          <w:rFonts w:hint="eastAsia" w:eastAsia="仿宋_GB2312"/>
          <w:sz w:val="30"/>
          <w:szCs w:val="30"/>
        </w:rPr>
        <w:t>卫生健康支出”</w:t>
      </w:r>
      <w:r>
        <w:rPr>
          <w:rFonts w:hint="eastAsia" w:eastAsia="仿宋_GB2312"/>
          <w:sz w:val="30"/>
          <w:szCs w:val="30"/>
          <w:u w:val="single"/>
        </w:rPr>
        <w:t>5007.06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</w:t>
      </w:r>
      <w:r>
        <w:rPr>
          <w:rFonts w:eastAsia="仿宋_GB2312"/>
          <w:sz w:val="30"/>
          <w:szCs w:val="30"/>
        </w:rPr>
        <w:t>算相比增加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173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</w:rPr>
        <w:t>万</w:t>
      </w:r>
      <w:r>
        <w:rPr>
          <w:rFonts w:eastAsia="仿宋_GB2312"/>
          <w:sz w:val="30"/>
          <w:szCs w:val="30"/>
        </w:rPr>
        <w:t>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财政项目拨款增加</w:t>
      </w:r>
      <w:r>
        <w:rPr>
          <w:rFonts w:eastAsia="仿宋_GB2312"/>
          <w:sz w:val="30"/>
          <w:szCs w:val="30"/>
        </w:rPr>
        <w:t>，其中：</w:t>
      </w:r>
    </w:p>
    <w:p>
      <w:pPr>
        <w:spacing w:line="580" w:lineRule="exact"/>
        <w:ind w:firstLine="600" w:firstLineChars="200"/>
        <w:rPr>
          <w:rFonts w:hint="eastAsia" w:eastAsia="仿宋_GB2312"/>
          <w:sz w:val="30"/>
          <w:szCs w:val="30"/>
          <w:u w:val="single"/>
          <w:lang w:eastAsia="zh-CN"/>
        </w:rPr>
      </w:pPr>
      <w:r>
        <w:rPr>
          <w:rFonts w:hint="eastAsia" w:eastAsia="仿宋_GB2312"/>
          <w:sz w:val="30"/>
          <w:szCs w:val="30"/>
        </w:rPr>
        <w:t>“公立医院”</w:t>
      </w:r>
      <w:r>
        <w:rPr>
          <w:rFonts w:hint="eastAsia" w:eastAsia="仿宋_GB2312"/>
          <w:sz w:val="30"/>
          <w:szCs w:val="30"/>
          <w:u w:val="single"/>
        </w:rPr>
        <w:t>4505.56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包括</w:t>
      </w:r>
      <w:r>
        <w:rPr>
          <w:rFonts w:eastAsia="仿宋_GB2312"/>
          <w:sz w:val="30"/>
          <w:szCs w:val="30"/>
        </w:rPr>
        <w:t>：</w:t>
      </w:r>
      <w:r>
        <w:rPr>
          <w:rFonts w:hint="eastAsia" w:eastAsia="仿宋_GB2312"/>
          <w:sz w:val="30"/>
          <w:szCs w:val="30"/>
        </w:rPr>
        <w:t>“精神病医院”</w:t>
      </w:r>
      <w:r>
        <w:rPr>
          <w:rFonts w:hint="eastAsia" w:eastAsia="仿宋_GB2312"/>
          <w:sz w:val="30"/>
          <w:szCs w:val="30"/>
          <w:u w:val="single"/>
        </w:rPr>
        <w:t>4505.56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eastAsia="仿宋_GB2312"/>
          <w:sz w:val="30"/>
          <w:szCs w:val="30"/>
          <w:u w:val="single"/>
        </w:rPr>
        <w:t>公共卫生医院人员补贴</w:t>
      </w:r>
      <w:r>
        <w:rPr>
          <w:rFonts w:hint="eastAsia" w:eastAsia="仿宋_GB2312"/>
          <w:sz w:val="30"/>
          <w:szCs w:val="30"/>
          <w:u w:val="single"/>
          <w:lang w:eastAsia="zh-CN"/>
        </w:rPr>
        <w:t>、公立医院诊疗服务能力提升（设备购置)）等。</w:t>
      </w:r>
    </w:p>
    <w:p>
      <w:pPr>
        <w:spacing w:line="5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“公共卫生”</w:t>
      </w:r>
      <w:r>
        <w:rPr>
          <w:rFonts w:hint="eastAsia" w:eastAsia="仿宋_GB2312"/>
          <w:sz w:val="30"/>
          <w:szCs w:val="30"/>
          <w:u w:val="single"/>
        </w:rPr>
        <w:t>97.3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包括</w:t>
      </w:r>
      <w:r>
        <w:rPr>
          <w:rFonts w:eastAsia="仿宋_GB2312"/>
          <w:sz w:val="30"/>
          <w:szCs w:val="30"/>
        </w:rPr>
        <w:t>：</w:t>
      </w:r>
      <w:r>
        <w:rPr>
          <w:rFonts w:hint="eastAsia" w:eastAsia="仿宋_GB2312"/>
          <w:sz w:val="30"/>
          <w:szCs w:val="30"/>
        </w:rPr>
        <w:t>“基本公共卫生服务”</w:t>
      </w:r>
      <w:r>
        <w:rPr>
          <w:rFonts w:hint="eastAsia" w:eastAsia="仿宋_GB2312"/>
          <w:sz w:val="30"/>
          <w:szCs w:val="30"/>
          <w:u w:val="single"/>
        </w:rPr>
        <w:t>40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>精神健康项目</w:t>
      </w:r>
      <w:r>
        <w:rPr>
          <w:rFonts w:eastAsia="仿宋_GB2312"/>
          <w:sz w:val="30"/>
          <w:szCs w:val="30"/>
        </w:rPr>
        <w:t>；</w:t>
      </w:r>
      <w:r>
        <w:rPr>
          <w:rFonts w:hint="eastAsia" w:eastAsia="仿宋_GB2312"/>
          <w:sz w:val="30"/>
          <w:szCs w:val="30"/>
        </w:rPr>
        <w:t>“重大公共卫生服务”</w:t>
      </w:r>
      <w:r>
        <w:rPr>
          <w:rFonts w:hint="eastAsia" w:eastAsia="仿宋_GB2312"/>
          <w:sz w:val="30"/>
          <w:szCs w:val="30"/>
          <w:u w:val="single"/>
        </w:rPr>
        <w:t>57.3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>重大传染病防控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  <w:lang w:eastAsia="zh-CN"/>
        </w:rPr>
        <w:t>项目</w:t>
      </w:r>
      <w:r>
        <w:rPr>
          <w:rFonts w:eastAsia="仿宋_GB2312"/>
          <w:sz w:val="30"/>
          <w:szCs w:val="30"/>
        </w:rPr>
        <w:t>；</w:t>
      </w:r>
    </w:p>
    <w:p>
      <w:pPr>
        <w:spacing w:line="58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“中医药”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0.5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包括</w:t>
      </w:r>
      <w:r>
        <w:rPr>
          <w:rFonts w:eastAsia="仿宋_GB2312"/>
          <w:sz w:val="30"/>
          <w:szCs w:val="30"/>
        </w:rPr>
        <w:t>：</w:t>
      </w:r>
      <w:r>
        <w:rPr>
          <w:rFonts w:hint="eastAsia" w:eastAsia="仿宋_GB2312"/>
          <w:sz w:val="30"/>
          <w:szCs w:val="30"/>
        </w:rPr>
        <w:t>“中医（民族医）药专项”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0.5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eastAsia="仿宋_GB2312"/>
          <w:sz w:val="30"/>
          <w:szCs w:val="30"/>
          <w:u w:val="single"/>
          <w:lang w:eastAsia="zh-CN"/>
        </w:rPr>
        <w:t>中医中西医结合科研课题</w:t>
      </w:r>
      <w:r>
        <w:rPr>
          <w:rFonts w:eastAsia="仿宋_GB2312"/>
          <w:sz w:val="30"/>
          <w:szCs w:val="30"/>
        </w:rPr>
        <w:t>；</w:t>
      </w:r>
    </w:p>
    <w:p>
      <w:pPr>
        <w:spacing w:line="580" w:lineRule="exact"/>
        <w:ind w:firstLine="600" w:firstLineChars="200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eastAsia="仿宋_GB2312"/>
          <w:sz w:val="30"/>
          <w:szCs w:val="30"/>
        </w:rPr>
        <w:t>“行政事业单位医疗”</w:t>
      </w:r>
      <w:r>
        <w:rPr>
          <w:rFonts w:hint="eastAsia" w:eastAsia="仿宋_GB2312"/>
          <w:sz w:val="30"/>
          <w:szCs w:val="30"/>
          <w:u w:val="single"/>
        </w:rPr>
        <w:t>403.7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包括</w:t>
      </w:r>
      <w:r>
        <w:rPr>
          <w:rFonts w:eastAsia="仿宋_GB2312"/>
          <w:sz w:val="30"/>
          <w:szCs w:val="30"/>
        </w:rPr>
        <w:t>：</w:t>
      </w:r>
      <w:r>
        <w:rPr>
          <w:rFonts w:hint="eastAsia" w:eastAsia="仿宋_GB2312"/>
          <w:sz w:val="30"/>
          <w:szCs w:val="30"/>
        </w:rPr>
        <w:t>“事业单位医疗”</w:t>
      </w:r>
      <w:r>
        <w:rPr>
          <w:rFonts w:hint="eastAsia" w:eastAsia="仿宋_GB2312"/>
          <w:sz w:val="30"/>
          <w:szCs w:val="30"/>
          <w:u w:val="single"/>
        </w:rPr>
        <w:t>273.6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eastAsia="仿宋_GB2312"/>
          <w:sz w:val="30"/>
          <w:szCs w:val="30"/>
          <w:u w:val="single"/>
        </w:rPr>
        <w:t>事业单位医疗</w:t>
      </w:r>
      <w:r>
        <w:rPr>
          <w:rFonts w:eastAsia="仿宋_GB2312"/>
          <w:sz w:val="30"/>
          <w:szCs w:val="30"/>
        </w:rPr>
        <w:t>；</w:t>
      </w:r>
      <w:r>
        <w:rPr>
          <w:rFonts w:hint="eastAsia" w:eastAsia="仿宋_GB2312"/>
          <w:sz w:val="30"/>
          <w:szCs w:val="30"/>
        </w:rPr>
        <w:t>“其他行政事业单位医疗支出”</w:t>
      </w:r>
      <w:r>
        <w:rPr>
          <w:rFonts w:hint="eastAsia" w:eastAsia="仿宋_GB2312"/>
          <w:sz w:val="30"/>
          <w:szCs w:val="30"/>
          <w:u w:val="single"/>
        </w:rPr>
        <w:t>130.1</w:t>
      </w:r>
      <w:r>
        <w:rPr>
          <w:rFonts w:eastAsia="仿宋_GB2312"/>
          <w:sz w:val="30"/>
          <w:szCs w:val="30"/>
        </w:rPr>
        <w:t>万元，主要用于</w:t>
      </w:r>
      <w:r>
        <w:rPr>
          <w:rFonts w:hint="eastAsia" w:eastAsia="仿宋_GB2312"/>
          <w:sz w:val="30"/>
          <w:szCs w:val="30"/>
          <w:u w:val="single"/>
        </w:rPr>
        <w:t>其他行政事业单位医疗</w:t>
      </w:r>
      <w:r>
        <w:rPr>
          <w:rFonts w:hint="eastAsia" w:eastAsia="仿宋_GB2312"/>
          <w:sz w:val="30"/>
          <w:szCs w:val="30"/>
          <w:u w:val="single"/>
          <w:lang w:eastAsia="zh-CN"/>
        </w:rPr>
        <w:t>。</w:t>
      </w:r>
    </w:p>
    <w:p>
      <w:pPr>
        <w:numPr>
          <w:ilvl w:val="0"/>
          <w:numId w:val="0"/>
        </w:numPr>
        <w:spacing w:line="580" w:lineRule="exact"/>
        <w:ind w:leftChars="200"/>
        <w:rPr>
          <w:rFonts w:eastAsia="仿宋_GB2312"/>
          <w:sz w:val="30"/>
          <w:szCs w:val="30"/>
        </w:rPr>
      </w:pPr>
    </w:p>
    <w:p>
      <w:pPr>
        <w:pStyle w:val="3"/>
        <w:spacing w:line="600" w:lineRule="exact"/>
        <w:ind w:firstLine="600" w:firstLineChars="200"/>
        <w:rPr>
          <w:rFonts w:ascii="黑体" w:hAnsi="黑体" w:eastAsia="黑体"/>
          <w:b w:val="0"/>
          <w:sz w:val="30"/>
          <w:szCs w:val="30"/>
        </w:rPr>
      </w:pPr>
      <w:bookmarkStart w:id="9" w:name="_Toc78784576"/>
      <w:r>
        <w:rPr>
          <w:rFonts w:ascii="黑体" w:hAnsi="黑体" w:eastAsia="黑体"/>
          <w:b w:val="0"/>
          <w:sz w:val="30"/>
          <w:szCs w:val="30"/>
        </w:rPr>
        <w:t>六、</w:t>
      </w:r>
      <w:r>
        <w:rPr>
          <w:rFonts w:hint="eastAsia" w:ascii="黑体" w:hAnsi="黑体" w:eastAsia="黑体"/>
          <w:b w:val="0"/>
          <w:sz w:val="30"/>
          <w:szCs w:val="30"/>
        </w:rPr>
        <w:t>关于</w:t>
      </w:r>
      <w:r>
        <w:rPr>
          <w:rFonts w:ascii="黑体" w:hAnsi="黑体" w:eastAsia="黑体"/>
          <w:b w:val="0"/>
          <w:sz w:val="30"/>
          <w:szCs w:val="30"/>
        </w:rPr>
        <w:t>一般公共预算基本支出情况</w:t>
      </w:r>
      <w:bookmarkEnd w:id="9"/>
      <w:r>
        <w:rPr>
          <w:rFonts w:hint="eastAsia" w:ascii="黑体" w:hAnsi="黑体" w:eastAsia="黑体"/>
          <w:b w:val="0"/>
          <w:sz w:val="30"/>
          <w:szCs w:val="30"/>
        </w:rPr>
        <w:t>表的说明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eastAsia="zh-CN"/>
        </w:rPr>
        <w:t>天津市安定医院</w:t>
      </w:r>
      <w:r>
        <w:rPr>
          <w:rFonts w:eastAsia="仿宋_GB2312"/>
          <w:sz w:val="30"/>
          <w:szCs w:val="30"/>
        </w:rPr>
        <w:t>一般公共预算</w:t>
      </w:r>
      <w:r>
        <w:rPr>
          <w:rFonts w:hint="eastAsia" w:eastAsia="仿宋_GB2312"/>
          <w:sz w:val="30"/>
          <w:szCs w:val="30"/>
        </w:rPr>
        <w:t>基本支出</w:t>
      </w:r>
      <w:r>
        <w:rPr>
          <w:rFonts w:hint="eastAsia" w:eastAsia="仿宋_GB2312"/>
          <w:sz w:val="30"/>
          <w:szCs w:val="30"/>
          <w:u w:val="single"/>
        </w:rPr>
        <w:t>2986.3</w:t>
      </w:r>
      <w:r>
        <w:rPr>
          <w:rFonts w:eastAsia="仿宋_GB2312"/>
          <w:sz w:val="30"/>
          <w:szCs w:val="30"/>
        </w:rPr>
        <w:t>万元，与</w:t>
      </w:r>
      <w:r>
        <w:rPr>
          <w:rFonts w:hint="eastAsia" w:eastAsia="仿宋_GB2312"/>
          <w:sz w:val="30"/>
          <w:szCs w:val="30"/>
        </w:rPr>
        <w:t>2022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相比增加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47.4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eastAsia="仿宋_GB2312"/>
          <w:sz w:val="30"/>
          <w:szCs w:val="30"/>
        </w:rPr>
        <w:t>主要原因是</w:t>
      </w:r>
      <w:r>
        <w:rPr>
          <w:rFonts w:hint="eastAsia" w:eastAsia="仿宋_GB2312"/>
          <w:sz w:val="30"/>
          <w:szCs w:val="30"/>
          <w:u w:val="single"/>
          <w:lang w:eastAsia="zh-CN"/>
        </w:rPr>
        <w:t>职工人员数量变化</w:t>
      </w:r>
      <w:r>
        <w:rPr>
          <w:rFonts w:hint="eastAsia" w:eastAsia="仿宋_GB2312"/>
          <w:sz w:val="30"/>
          <w:szCs w:val="30"/>
        </w:rPr>
        <w:t>。其中：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eastAsia="仿宋_GB2312"/>
          <w:sz w:val="30"/>
          <w:szCs w:val="30"/>
        </w:rPr>
        <w:t>人员经费</w:t>
      </w:r>
      <w:r>
        <w:rPr>
          <w:rFonts w:hint="eastAsia" w:eastAsia="仿宋_GB2312"/>
          <w:sz w:val="30"/>
          <w:szCs w:val="30"/>
          <w:u w:val="single"/>
        </w:rPr>
        <w:t>2907.8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，主要包括：机关事业单位基本养老保险缴费</w:t>
      </w:r>
      <w:r>
        <w:rPr>
          <w:rFonts w:hint="eastAsia" w:eastAsia="仿宋_GB2312"/>
          <w:sz w:val="30"/>
          <w:szCs w:val="30"/>
          <w:lang w:eastAsia="zh-CN"/>
        </w:rPr>
        <w:t>、职业年金缴费、职工基本医疗保险缴费、其他社会保障缴费、医疗费、退休费、医疗费补助。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eastAsia="仿宋_GB2312"/>
          <w:sz w:val="30"/>
          <w:szCs w:val="30"/>
        </w:rPr>
        <w:t>公用经费</w:t>
      </w:r>
      <w:r>
        <w:rPr>
          <w:rFonts w:hint="eastAsia" w:eastAsia="仿宋_GB2312"/>
          <w:sz w:val="30"/>
          <w:szCs w:val="30"/>
          <w:u w:val="single"/>
        </w:rPr>
        <w:t>78.5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，主要包括：物业管理费</w:t>
      </w:r>
      <w:r>
        <w:rPr>
          <w:rFonts w:hint="eastAsia" w:eastAsia="仿宋_GB2312"/>
          <w:sz w:val="30"/>
          <w:szCs w:val="30"/>
          <w:lang w:eastAsia="zh-CN"/>
        </w:rPr>
        <w:t>。</w:t>
      </w: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/>
          <w:b w:val="0"/>
          <w:sz w:val="30"/>
          <w:szCs w:val="30"/>
        </w:rPr>
      </w:pPr>
      <w:bookmarkStart w:id="10" w:name="_Toc78784577"/>
      <w:r>
        <w:rPr>
          <w:rFonts w:hint="eastAsia" w:ascii="黑体" w:hAnsi="黑体" w:eastAsia="黑体"/>
          <w:b w:val="0"/>
          <w:sz w:val="30"/>
          <w:szCs w:val="30"/>
        </w:rPr>
        <w:t>七、关于一般公共预算“三公”经费支出情况表的说明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</w:t>
      </w:r>
      <w:r>
        <w:rPr>
          <w:rFonts w:hint="eastAsia" w:eastAsia="仿宋_GB2312"/>
          <w:sz w:val="30"/>
          <w:szCs w:val="30"/>
        </w:rPr>
        <w:t>23</w:t>
      </w:r>
      <w:r>
        <w:rPr>
          <w:rFonts w:eastAsia="仿宋_GB2312"/>
          <w:sz w:val="30"/>
          <w:szCs w:val="30"/>
        </w:rPr>
        <w:t>年一般公共预算“三公”经费安排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hint="eastAsia" w:eastAsia="仿宋_GB2312"/>
          <w:sz w:val="30"/>
          <w:szCs w:val="30"/>
        </w:rPr>
        <w:t>本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一般公共预算未安排“三公”经费</w:t>
      </w:r>
      <w:r>
        <w:rPr>
          <w:rFonts w:eastAsia="仿宋_GB2312"/>
          <w:sz w:val="30"/>
          <w:szCs w:val="30"/>
        </w:rPr>
        <w:t>。具体情况：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一、20</w:t>
      </w:r>
      <w:r>
        <w:rPr>
          <w:rFonts w:hint="eastAsia" w:eastAsia="仿宋_GB2312"/>
          <w:sz w:val="30"/>
          <w:szCs w:val="30"/>
        </w:rPr>
        <w:t>23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hint="eastAsia" w:eastAsia="仿宋_GB2312"/>
          <w:sz w:val="30"/>
          <w:szCs w:val="30"/>
        </w:rPr>
        <w:t>本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一般公共预算未安排“三公”经费</w:t>
      </w:r>
      <w:r>
        <w:rPr>
          <w:rFonts w:eastAsia="仿宋_GB2312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二、20</w:t>
      </w:r>
      <w:r>
        <w:rPr>
          <w:rFonts w:hint="eastAsia" w:eastAsia="仿宋_GB2312"/>
          <w:sz w:val="30"/>
          <w:szCs w:val="30"/>
        </w:rPr>
        <w:t>23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hint="eastAsia" w:eastAsia="仿宋_GB2312"/>
          <w:sz w:val="30"/>
          <w:szCs w:val="30"/>
        </w:rPr>
        <w:t>本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一般公共预算未安排“三公”经费</w:t>
      </w:r>
      <w:r>
        <w:rPr>
          <w:rFonts w:eastAsia="仿宋_GB2312"/>
          <w:sz w:val="30"/>
          <w:szCs w:val="30"/>
        </w:rPr>
        <w:t>；公务用车购置费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hint="eastAsia" w:eastAsia="仿宋_GB2312"/>
          <w:sz w:val="30"/>
          <w:szCs w:val="30"/>
        </w:rPr>
        <w:t>本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一般公共预算未安排“三公”经费</w:t>
      </w:r>
      <w:r>
        <w:rPr>
          <w:rFonts w:eastAsia="仿宋_GB2312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三、20</w:t>
      </w:r>
      <w:r>
        <w:rPr>
          <w:rFonts w:hint="eastAsia" w:eastAsia="仿宋_GB2312"/>
          <w:sz w:val="30"/>
          <w:szCs w:val="30"/>
        </w:rPr>
        <w:t>23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22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hint="eastAsia" w:eastAsia="仿宋_GB2312"/>
          <w:sz w:val="30"/>
          <w:szCs w:val="30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hint="eastAsia" w:eastAsia="仿宋_GB2312"/>
          <w:sz w:val="30"/>
          <w:szCs w:val="30"/>
        </w:rPr>
        <w:t>本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一般公共预算未安排“三公”经费</w:t>
      </w:r>
      <w:r>
        <w:rPr>
          <w:rFonts w:eastAsia="仿宋_GB2312"/>
          <w:sz w:val="30"/>
          <w:szCs w:val="30"/>
        </w:rPr>
        <w:t>。</w:t>
      </w: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/>
          <w:b w:val="0"/>
          <w:sz w:val="30"/>
          <w:szCs w:val="30"/>
        </w:rPr>
      </w:pPr>
      <w:r>
        <w:rPr>
          <w:rFonts w:hint="eastAsia" w:ascii="黑体" w:hAnsi="黑体" w:eastAsia="黑体"/>
          <w:b w:val="0"/>
          <w:sz w:val="30"/>
          <w:szCs w:val="30"/>
        </w:rPr>
        <w:t>八</w:t>
      </w:r>
      <w:r>
        <w:rPr>
          <w:rFonts w:ascii="黑体" w:hAnsi="黑体" w:eastAsia="黑体"/>
          <w:b w:val="0"/>
          <w:sz w:val="30"/>
          <w:szCs w:val="30"/>
        </w:rPr>
        <w:t>、</w:t>
      </w:r>
      <w:r>
        <w:rPr>
          <w:rFonts w:hint="eastAsia" w:ascii="黑体" w:hAnsi="黑体" w:eastAsia="黑体"/>
          <w:b w:val="0"/>
          <w:sz w:val="30"/>
          <w:szCs w:val="30"/>
        </w:rPr>
        <w:t>关于</w:t>
      </w:r>
      <w:r>
        <w:rPr>
          <w:rFonts w:ascii="黑体" w:hAnsi="黑体" w:eastAsia="黑体"/>
          <w:b w:val="0"/>
          <w:sz w:val="30"/>
          <w:szCs w:val="30"/>
        </w:rPr>
        <w:t>政府性基金预算</w:t>
      </w:r>
      <w:r>
        <w:rPr>
          <w:rFonts w:hint="eastAsia" w:ascii="黑体" w:hAnsi="黑体" w:eastAsia="黑体"/>
          <w:b w:val="0"/>
          <w:sz w:val="30"/>
          <w:szCs w:val="30"/>
        </w:rPr>
        <w:t>支出</w:t>
      </w:r>
      <w:r>
        <w:rPr>
          <w:rFonts w:ascii="黑体" w:hAnsi="黑体" w:eastAsia="黑体"/>
          <w:b w:val="0"/>
          <w:sz w:val="30"/>
          <w:szCs w:val="30"/>
        </w:rPr>
        <w:t>情况</w:t>
      </w:r>
      <w:bookmarkEnd w:id="10"/>
      <w:r>
        <w:rPr>
          <w:rFonts w:hint="eastAsia" w:ascii="黑体" w:hAnsi="黑体" w:eastAsia="黑体"/>
          <w:b w:val="0"/>
          <w:sz w:val="30"/>
          <w:szCs w:val="30"/>
        </w:rPr>
        <w:t>表的说明</w:t>
      </w:r>
    </w:p>
    <w:p>
      <w:pPr>
        <w:spacing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2023年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天津市安定医院</w:t>
      </w:r>
      <w:r>
        <w:rPr>
          <w:rFonts w:hint="eastAsia" w:ascii="楷体" w:hAnsi="楷体" w:eastAsia="楷体" w:cs="楷体"/>
          <w:sz w:val="30"/>
          <w:szCs w:val="30"/>
        </w:rPr>
        <w:t>预算中没有使用政府性基金预算安排的支出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。</w:t>
      </w:r>
    </w:p>
    <w:p>
      <w:pPr>
        <w:pStyle w:val="3"/>
        <w:spacing w:line="600" w:lineRule="exact"/>
        <w:ind w:firstLine="600" w:firstLineChars="200"/>
        <w:rPr>
          <w:rFonts w:hint="eastAsia" w:ascii="黑体" w:hAnsi="黑体" w:eastAsia="黑体"/>
          <w:b w:val="0"/>
          <w:sz w:val="30"/>
          <w:szCs w:val="30"/>
        </w:rPr>
      </w:pPr>
      <w:bookmarkStart w:id="11" w:name="_Toc78784578"/>
      <w:r>
        <w:rPr>
          <w:rFonts w:hint="eastAsia" w:ascii="黑体" w:hAnsi="黑体" w:eastAsia="黑体"/>
          <w:b w:val="0"/>
          <w:sz w:val="30"/>
          <w:szCs w:val="30"/>
        </w:rPr>
        <w:t>九、关于国有资本经营预算支出情况表</w:t>
      </w:r>
      <w:bookmarkEnd w:id="11"/>
      <w:r>
        <w:rPr>
          <w:rFonts w:hint="eastAsia" w:ascii="黑体" w:hAnsi="黑体" w:eastAsia="黑体"/>
          <w:b w:val="0"/>
          <w:sz w:val="30"/>
          <w:szCs w:val="30"/>
        </w:rPr>
        <w:t>的说明</w:t>
      </w:r>
    </w:p>
    <w:p>
      <w:pPr>
        <w:spacing w:line="600" w:lineRule="exact"/>
        <w:ind w:firstLine="600" w:firstLineChars="200"/>
        <w:rPr>
          <w:rFonts w:hint="eastAsia" w:ascii="楷体" w:hAnsi="楷体" w:eastAsia="楷体" w:cs="楷体"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2023年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天津市安定医院</w:t>
      </w:r>
      <w:r>
        <w:rPr>
          <w:rFonts w:hint="eastAsia" w:ascii="楷体" w:hAnsi="楷体" w:eastAsia="楷体" w:cs="楷体"/>
          <w:sz w:val="30"/>
          <w:szCs w:val="30"/>
        </w:rPr>
        <w:t>预算中没有使用国有资本经营预算预算安排的支出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。</w:t>
      </w:r>
    </w:p>
    <w:p/>
    <w:p>
      <w:pPr>
        <w:pStyle w:val="3"/>
        <w:spacing w:line="600" w:lineRule="exact"/>
        <w:ind w:firstLine="600" w:firstLineChars="200"/>
        <w:rPr>
          <w:rFonts w:hint="eastAsia" w:ascii="黑体" w:hAnsi="黑体" w:eastAsia="黑体"/>
          <w:b w:val="0"/>
          <w:sz w:val="30"/>
          <w:szCs w:val="30"/>
        </w:rPr>
      </w:pPr>
      <w:bookmarkStart w:id="12" w:name="_Toc78784579"/>
      <w:r>
        <w:rPr>
          <w:rFonts w:hint="eastAsia" w:ascii="黑体" w:hAnsi="黑体" w:eastAsia="黑体"/>
          <w:b w:val="0"/>
          <w:sz w:val="30"/>
          <w:szCs w:val="30"/>
        </w:rPr>
        <w:t>十、其他重要事项的情况说明</w:t>
      </w:r>
    </w:p>
    <w:p>
      <w:pPr>
        <w:spacing w:line="600" w:lineRule="exact"/>
        <w:ind w:left="480" w:leftChars="200"/>
        <w:rPr>
          <w:rFonts w:ascii="楷体" w:hAnsi="楷体" w:eastAsia="楷体" w:cs="仿宋_GB2312"/>
          <w:b/>
          <w:sz w:val="30"/>
          <w:szCs w:val="30"/>
        </w:rPr>
      </w:pPr>
      <w:r>
        <w:rPr>
          <w:rFonts w:hint="eastAsia" w:ascii="楷体" w:hAnsi="楷体" w:eastAsia="楷体" w:cs="仿宋_GB2312"/>
          <w:b/>
          <w:sz w:val="30"/>
          <w:szCs w:val="30"/>
        </w:rPr>
        <w:t>（一）</w:t>
      </w:r>
      <w:r>
        <w:rPr>
          <w:rFonts w:ascii="楷体" w:hAnsi="楷体" w:eastAsia="楷体" w:cs="仿宋_GB2312"/>
          <w:b/>
          <w:sz w:val="30"/>
          <w:szCs w:val="30"/>
        </w:rPr>
        <w:t>机关运行经费</w:t>
      </w:r>
      <w:bookmarkEnd w:id="12"/>
      <w:r>
        <w:rPr>
          <w:rFonts w:hint="eastAsia" w:ascii="楷体" w:hAnsi="楷体" w:eastAsia="楷体" w:cs="仿宋_GB2312"/>
          <w:b/>
          <w:sz w:val="30"/>
          <w:szCs w:val="30"/>
        </w:rPr>
        <w:t>。</w:t>
      </w: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  <w:lang w:eastAsia="zh-CN"/>
        </w:rPr>
      </w:pPr>
      <w:r>
        <w:rPr>
          <w:rFonts w:eastAsia="楷体_GB2312"/>
          <w:sz w:val="30"/>
          <w:szCs w:val="30"/>
        </w:rPr>
        <w:t>本</w:t>
      </w:r>
      <w:r>
        <w:rPr>
          <w:rFonts w:hint="eastAsia" w:eastAsia="楷体_GB2312"/>
          <w:sz w:val="30"/>
          <w:szCs w:val="30"/>
          <w:lang w:eastAsia="zh-CN"/>
        </w:rPr>
        <w:t>单位</w:t>
      </w:r>
      <w:r>
        <w:rPr>
          <w:rFonts w:eastAsia="楷体_GB2312"/>
          <w:sz w:val="30"/>
          <w:szCs w:val="30"/>
        </w:rPr>
        <w:t>20</w:t>
      </w:r>
      <w:r>
        <w:rPr>
          <w:rFonts w:hint="eastAsia" w:eastAsia="楷体_GB2312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年未安排机关运行经费</w:t>
      </w:r>
      <w:r>
        <w:rPr>
          <w:rFonts w:hint="eastAsia" w:eastAsia="楷体_GB2312"/>
          <w:sz w:val="30"/>
          <w:szCs w:val="30"/>
        </w:rPr>
        <w:t>预算</w:t>
      </w:r>
      <w:r>
        <w:rPr>
          <w:rFonts w:hint="eastAsia" w:eastAsia="楷体_GB2312"/>
          <w:sz w:val="30"/>
          <w:szCs w:val="30"/>
          <w:lang w:eastAsia="zh-CN"/>
        </w:rPr>
        <w:t>。</w:t>
      </w:r>
    </w:p>
    <w:p>
      <w:pPr>
        <w:spacing w:line="600" w:lineRule="exact"/>
        <w:ind w:firstLine="602" w:firstLineChars="200"/>
        <w:rPr>
          <w:rFonts w:eastAsia="楷体_GB2312"/>
          <w:b/>
          <w:sz w:val="30"/>
          <w:szCs w:val="30"/>
        </w:rPr>
      </w:pPr>
      <w:r>
        <w:rPr>
          <w:rFonts w:hint="eastAsia" w:ascii="楷体" w:hAnsi="楷体" w:eastAsia="楷体" w:cs="仿宋_GB2312"/>
          <w:b/>
          <w:sz w:val="30"/>
          <w:szCs w:val="30"/>
        </w:rPr>
        <w:t>（二）</w:t>
      </w:r>
      <w:r>
        <w:rPr>
          <w:rFonts w:eastAsia="楷体_GB2312"/>
          <w:b/>
          <w:sz w:val="30"/>
          <w:szCs w:val="30"/>
          <w:highlight w:val="none"/>
        </w:rPr>
        <w:t>政府采购情况</w:t>
      </w:r>
      <w:r>
        <w:rPr>
          <w:rFonts w:hint="eastAsia" w:ascii="楷体" w:hAnsi="楷体" w:eastAsia="楷体" w:cs="仿宋_GB2312"/>
          <w:b/>
          <w:sz w:val="30"/>
          <w:szCs w:val="30"/>
          <w:highlight w:val="none"/>
        </w:rPr>
        <w:t>。</w:t>
      </w:r>
    </w:p>
    <w:p>
      <w:pPr>
        <w:spacing w:line="580" w:lineRule="exact"/>
        <w:ind w:firstLine="600" w:firstLineChars="200"/>
        <w:rPr>
          <w:rFonts w:hint="eastAsia" w:eastAsia="仿宋_GB2312"/>
          <w:color w:val="000000"/>
          <w:sz w:val="30"/>
          <w:szCs w:val="30"/>
          <w:lang w:val="en-US" w:eastAsia="zh-CN"/>
        </w:rPr>
      </w:pPr>
      <w:r>
        <w:rPr>
          <w:rFonts w:eastAsia="仿宋_GB2312"/>
          <w:sz w:val="30"/>
          <w:szCs w:val="30"/>
        </w:rPr>
        <w:t>本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eastAsia="仿宋_GB2312"/>
          <w:sz w:val="30"/>
          <w:szCs w:val="30"/>
        </w:rPr>
        <w:t>20</w:t>
      </w:r>
      <w:r>
        <w:rPr>
          <w:rFonts w:hint="eastAsia" w:eastAsia="仿宋_GB2312"/>
          <w:sz w:val="30"/>
          <w:szCs w:val="30"/>
        </w:rPr>
        <w:t>23</w:t>
      </w:r>
      <w:r>
        <w:rPr>
          <w:rFonts w:eastAsia="仿宋_GB2312"/>
          <w:sz w:val="30"/>
          <w:szCs w:val="30"/>
        </w:rPr>
        <w:t>年安排政府采购预算</w:t>
      </w:r>
      <w:r>
        <w:rPr>
          <w:rFonts w:hint="eastAsia" w:eastAsia="仿宋_GB2312"/>
          <w:sz w:val="30"/>
          <w:szCs w:val="30"/>
          <w:u w:val="single"/>
        </w:rPr>
        <w:t>3773.41</w:t>
      </w:r>
      <w:r>
        <w:rPr>
          <w:rFonts w:eastAsia="仿宋_GB2312"/>
          <w:sz w:val="30"/>
          <w:szCs w:val="30"/>
        </w:rPr>
        <w:t>万元，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其中：政府采购货物支出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1620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万元、政府采购工程支出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162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万元、政府采购服务支出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1991.41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万元。</w:t>
      </w:r>
      <w:r>
        <w:rPr>
          <w:rFonts w:hint="eastAsia" w:eastAsia="仿宋_GB2312"/>
          <w:color w:val="000000"/>
          <w:sz w:val="30"/>
          <w:szCs w:val="30"/>
        </w:rPr>
        <w:t>主要</w:t>
      </w:r>
      <w:r>
        <w:rPr>
          <w:rFonts w:eastAsia="仿宋_GB2312"/>
          <w:color w:val="000000"/>
          <w:sz w:val="30"/>
          <w:szCs w:val="30"/>
        </w:rPr>
        <w:t>项目是</w:t>
      </w:r>
      <w:r>
        <w:rPr>
          <w:rFonts w:hint="eastAsia" w:eastAsia="仿宋_GB2312"/>
          <w:color w:val="000000"/>
          <w:sz w:val="30"/>
          <w:szCs w:val="30"/>
        </w:rPr>
        <w:t>：物业管理服务</w:t>
      </w:r>
      <w:r>
        <w:rPr>
          <w:rFonts w:hint="eastAsia" w:eastAsia="仿宋_GB2312"/>
          <w:sz w:val="30"/>
          <w:szCs w:val="30"/>
          <w:u w:val="single"/>
        </w:rPr>
        <w:t>1631.41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hint="eastAsia" w:eastAsia="仿宋_GB2312"/>
          <w:color w:val="000000"/>
          <w:sz w:val="30"/>
          <w:szCs w:val="30"/>
        </w:rPr>
        <w:t>，血型试剂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560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，其他医用材料</w:t>
      </w:r>
      <w:r>
        <w:rPr>
          <w:rFonts w:hint="eastAsia" w:eastAsia="仿宋_GB2312"/>
          <w:color w:val="000000"/>
          <w:sz w:val="30"/>
          <w:szCs w:val="30"/>
          <w:u w:val="single"/>
          <w:lang w:val="en-US" w:eastAsia="zh-CN"/>
        </w:rPr>
        <w:t>262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.</w:t>
      </w:r>
    </w:p>
    <w:p>
      <w:pPr>
        <w:spacing w:line="600" w:lineRule="exact"/>
        <w:ind w:firstLine="602" w:firstLineChars="200"/>
        <w:rPr>
          <w:rFonts w:hint="eastAsia"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hint="eastAsia" w:eastAsia="楷体_GB2312"/>
          <w:b/>
          <w:sz w:val="30"/>
          <w:szCs w:val="30"/>
        </w:rPr>
        <w:t>三</w:t>
      </w:r>
      <w:r>
        <w:rPr>
          <w:rFonts w:eastAsia="楷体_GB2312"/>
          <w:b/>
          <w:sz w:val="30"/>
          <w:szCs w:val="30"/>
        </w:rPr>
        <w:t>）</w:t>
      </w:r>
      <w:r>
        <w:rPr>
          <w:rFonts w:hint="eastAsia" w:eastAsia="楷体_GB2312"/>
          <w:b/>
          <w:sz w:val="30"/>
          <w:szCs w:val="30"/>
        </w:rPr>
        <w:t>国有资产占用情况。</w:t>
      </w:r>
    </w:p>
    <w:p>
      <w:pPr>
        <w:spacing w:line="580" w:lineRule="exact"/>
        <w:ind w:firstLine="600" w:firstLineChars="200"/>
        <w:jc w:val="both"/>
        <w:rPr>
          <w:rFonts w:hint="eastAsia" w:ascii="仿宋_GB2312" w:hAnsi="宋体" w:eastAsia="仿宋_GB2312" w:cs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截至20</w:t>
      </w:r>
      <w:r>
        <w:rPr>
          <w:rFonts w:hint="eastAsia" w:eastAsia="仿宋_GB2312"/>
          <w:color w:val="000000"/>
          <w:sz w:val="30"/>
          <w:szCs w:val="30"/>
        </w:rPr>
        <w:t>2</w:t>
      </w:r>
      <w:r>
        <w:rPr>
          <w:rFonts w:eastAsia="仿宋_GB2312"/>
          <w:color w:val="000000"/>
          <w:sz w:val="30"/>
          <w:szCs w:val="30"/>
          <w:lang w:val="en"/>
        </w:rPr>
        <w:t>2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hint="eastAsia" w:eastAsia="仿宋_GB2312"/>
          <w:color w:val="000000"/>
          <w:sz w:val="30"/>
          <w:szCs w:val="30"/>
        </w:rPr>
        <w:t>7月底</w:t>
      </w:r>
      <w:r>
        <w:rPr>
          <w:rFonts w:eastAsia="仿宋_GB2312"/>
          <w:color w:val="000000"/>
          <w:sz w:val="30"/>
          <w:szCs w:val="30"/>
        </w:rPr>
        <w:t>，</w:t>
      </w:r>
      <w:r>
        <w:rPr>
          <w:rFonts w:hint="eastAsia" w:eastAsia="仿宋_GB2312"/>
          <w:sz w:val="30"/>
          <w:szCs w:val="30"/>
        </w:rPr>
        <w:t>本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eastAsia="仿宋_GB2312"/>
          <w:color w:val="000000"/>
          <w:sz w:val="30"/>
          <w:szCs w:val="30"/>
        </w:rPr>
        <w:t>各单位共有车辆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2</w:t>
      </w:r>
      <w:r>
        <w:rPr>
          <w:rFonts w:eastAsia="仿宋_GB2312"/>
          <w:color w:val="000000"/>
          <w:sz w:val="30"/>
          <w:szCs w:val="30"/>
        </w:rPr>
        <w:t>辆，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其中：副部（省）级及以上领导用车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0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辆、主要领导干部用车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0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辆、机要通信用车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0</w:t>
      </w:r>
      <w:r>
        <w:rPr>
          <w:rFonts w:hint="eastAsia" w:ascii="仿宋_GB2312" w:eastAsia="仿宋_GB2312"/>
          <w:sz w:val="30"/>
          <w:szCs w:val="30"/>
        </w:rPr>
        <w:t>辆、应急保障用车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0</w:t>
      </w:r>
      <w:r>
        <w:rPr>
          <w:rFonts w:hint="eastAsia" w:ascii="仿宋_GB2312" w:eastAsia="仿宋_GB2312"/>
          <w:sz w:val="30"/>
          <w:szCs w:val="30"/>
        </w:rPr>
        <w:t>辆、执法执勤用车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0</w:t>
      </w:r>
      <w:r>
        <w:rPr>
          <w:rFonts w:hint="eastAsia" w:ascii="仿宋_GB2312" w:eastAsia="仿宋_GB2312"/>
          <w:sz w:val="30"/>
          <w:szCs w:val="30"/>
        </w:rPr>
        <w:t>辆、特种专业技术用车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辆、离退休干部用车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0</w:t>
      </w:r>
      <w:r>
        <w:rPr>
          <w:rFonts w:hint="eastAsia" w:ascii="仿宋_GB2312" w:eastAsia="仿宋_GB2312"/>
          <w:sz w:val="30"/>
          <w:szCs w:val="30"/>
        </w:rPr>
        <w:t>辆、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其他用车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辆，</w:t>
      </w:r>
      <w:r>
        <w:rPr>
          <w:rFonts w:ascii="仿宋_GB2312" w:eastAsia="仿宋_GB2312"/>
          <w:sz w:val="30"/>
          <w:szCs w:val="30"/>
        </w:rPr>
        <w:t>其他用车主要包括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别克汽车一辆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。单价50万元以上的通用设备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24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台（套），单价100万元以上的专用设备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15</w:t>
      </w:r>
      <w:r>
        <w:rPr>
          <w:rFonts w:hint="eastAsia" w:ascii="仿宋_GB2312" w:hAnsi="宋体" w:eastAsia="仿宋_GB2312" w:cs="仿宋_GB2312"/>
          <w:color w:val="000000"/>
          <w:sz w:val="30"/>
          <w:szCs w:val="30"/>
        </w:rPr>
        <w:t>台（套）。</w:t>
      </w:r>
    </w:p>
    <w:p>
      <w:pPr>
        <w:spacing w:line="600" w:lineRule="exact"/>
        <w:ind w:firstLine="602" w:firstLineChars="2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hint="eastAsia" w:eastAsia="楷体_GB2312"/>
          <w:b/>
          <w:sz w:val="30"/>
          <w:szCs w:val="30"/>
        </w:rPr>
        <w:t>四</w:t>
      </w:r>
      <w:r>
        <w:rPr>
          <w:rFonts w:eastAsia="楷体_GB2312"/>
          <w:b/>
          <w:sz w:val="30"/>
          <w:szCs w:val="30"/>
        </w:rPr>
        <w:t>）</w:t>
      </w:r>
      <w:r>
        <w:rPr>
          <w:rFonts w:hint="eastAsia" w:eastAsia="楷体_GB2312"/>
          <w:b/>
          <w:sz w:val="30"/>
          <w:szCs w:val="30"/>
          <w:highlight w:val="none"/>
        </w:rPr>
        <w:t>预算绩效情况说明。</w:t>
      </w:r>
    </w:p>
    <w:p>
      <w:pPr>
        <w:spacing w:line="580" w:lineRule="exact"/>
        <w:ind w:left="151" w:leftChars="63" w:firstLine="450" w:firstLineChars="150"/>
        <w:jc w:val="both"/>
        <w:rPr>
          <w:rFonts w:hint="eastAsia"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本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单位</w:t>
      </w:r>
      <w:r>
        <w:rPr>
          <w:rFonts w:eastAsia="仿宋_GB2312"/>
          <w:color w:val="000000"/>
          <w:sz w:val="30"/>
          <w:szCs w:val="30"/>
        </w:rPr>
        <w:t>20</w:t>
      </w:r>
      <w:r>
        <w:rPr>
          <w:rFonts w:hint="eastAsia" w:eastAsia="仿宋_GB2312"/>
          <w:color w:val="000000"/>
          <w:sz w:val="30"/>
          <w:szCs w:val="30"/>
        </w:rPr>
        <w:t>23</w:t>
      </w:r>
      <w:r>
        <w:rPr>
          <w:rFonts w:eastAsia="仿宋_GB2312"/>
          <w:color w:val="000000"/>
          <w:sz w:val="30"/>
          <w:szCs w:val="30"/>
        </w:rPr>
        <w:t>年实行绩效目标管理的项目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12</w:t>
      </w:r>
      <w:r>
        <w:rPr>
          <w:rFonts w:eastAsia="仿宋_GB2312"/>
          <w:color w:val="000000"/>
          <w:sz w:val="30"/>
          <w:szCs w:val="30"/>
        </w:rPr>
        <w:t>个，涉及预算金额</w:t>
      </w:r>
      <w:r>
        <w:rPr>
          <w:rFonts w:eastAsia="仿宋_GB2312"/>
          <w:sz w:val="30"/>
          <w:szCs w:val="30"/>
          <w:u w:val="single"/>
        </w:rPr>
        <w:t xml:space="preserve">                    </w:t>
      </w:r>
    </w:p>
    <w:p>
      <w:pPr>
        <w:spacing w:line="580" w:lineRule="exact"/>
        <w:ind w:left="151" w:leftChars="63" w:firstLine="450" w:firstLineChars="150"/>
        <w:jc w:val="both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sz w:val="30"/>
          <w:szCs w:val="30"/>
          <w:u w:val="single"/>
          <w:lang w:val="en-US" w:eastAsia="zh-CN"/>
        </w:rPr>
        <w:t>4193.96</w:t>
      </w:r>
      <w:r>
        <w:rPr>
          <w:rFonts w:hint="eastAsia" w:eastAsia="仿宋_GB2312"/>
          <w:sz w:val="30"/>
          <w:szCs w:val="30"/>
        </w:rPr>
        <w:t>万</w:t>
      </w:r>
      <w:r>
        <w:rPr>
          <w:rFonts w:eastAsia="仿宋_GB2312"/>
          <w:color w:val="000000"/>
          <w:sz w:val="30"/>
          <w:szCs w:val="30"/>
        </w:rPr>
        <w:t>元</w:t>
      </w:r>
      <w:r>
        <w:rPr>
          <w:rFonts w:hint="eastAsia" w:eastAsia="仿宋_GB2312"/>
          <w:color w:val="000000"/>
          <w:sz w:val="30"/>
          <w:szCs w:val="30"/>
        </w:rPr>
        <w:t>。</w:t>
      </w: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color w:val="000000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hint="eastAsia" w:eastAsia="仿宋_GB2312"/>
          <w:color w:val="000000"/>
          <w:sz w:val="30"/>
          <w:szCs w:val="30"/>
        </w:rPr>
      </w:pPr>
    </w:p>
    <w:p>
      <w:pPr>
        <w:spacing w:line="580" w:lineRule="exact"/>
        <w:ind w:firstLine="600" w:firstLineChars="200"/>
        <w:jc w:val="both"/>
        <w:rPr>
          <w:rFonts w:eastAsia="仿宋_GB2312"/>
          <w:color w:val="000000"/>
          <w:sz w:val="30"/>
          <w:szCs w:val="30"/>
        </w:rPr>
      </w:pPr>
    </w:p>
    <w:p>
      <w:pPr>
        <w:pStyle w:val="2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</w:pPr>
      <w:bookmarkStart w:id="13" w:name="_Toc78784585"/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第三部分  名词解释</w:t>
      </w:r>
      <w:bookmarkEnd w:id="13"/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预算。是指主管预算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依据相关法律、法规和政策规定及其行使职能需要，组织所属预算单位编制并逐级上报、审核、汇总，经财政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审核后按程序依法批准的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hint="eastAsia" w:eastAsia="仿宋_GB2312"/>
          <w:sz w:val="30"/>
          <w:szCs w:val="30"/>
        </w:rPr>
        <w:t>综合收支计划。</w:t>
      </w:r>
    </w:p>
    <w:p>
      <w:pPr>
        <w:spacing w:line="58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 xml:space="preserve"> 机关运行经费</w:t>
      </w:r>
      <w:r>
        <w:rPr>
          <w:rFonts w:hint="eastAsia" w:eastAsia="仿宋_GB2312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是指各</w:t>
      </w:r>
      <w:r>
        <w:rPr>
          <w:rFonts w:hint="eastAsia" w:eastAsia="仿宋_GB2312"/>
          <w:sz w:val="30"/>
          <w:szCs w:val="30"/>
          <w:lang w:eastAsia="zh-CN"/>
        </w:rPr>
        <w:t>单位</w:t>
      </w:r>
      <w:r>
        <w:rPr>
          <w:rFonts w:eastAsia="仿宋_GB2312"/>
          <w:sz w:val="30"/>
          <w:szCs w:val="30"/>
        </w:rPr>
        <w:t>的公用经费，包括办公及印刷费、邮电费、差旅费、会议费、福利费、日常维修费、专用材料及一般设备购置费、办公用房水电费、办公用房取暖费、办公用房物业管理费、公务用车运行维护费以及其他费用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hint="eastAsia" w:eastAsia="楷体_GB2312"/>
          <w:sz w:val="30"/>
          <w:szCs w:val="30"/>
        </w:rPr>
      </w:pPr>
    </w:p>
    <w:p>
      <w:pPr>
        <w:spacing w:line="580" w:lineRule="exact"/>
        <w:ind w:firstLine="600" w:firstLineChars="200"/>
        <w:rPr>
          <w:rFonts w:eastAsia="楷体_GB2312"/>
          <w:sz w:val="30"/>
          <w:szCs w:val="30"/>
        </w:rPr>
      </w:pPr>
    </w:p>
    <w:p>
      <w:pPr>
        <w:pStyle w:val="2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第四部分  2023年</w:t>
      </w: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  <w:lang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b w:val="0"/>
          <w:sz w:val="48"/>
          <w:szCs w:val="48"/>
        </w:rPr>
        <w:t>预算表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一、《</w:t>
      </w:r>
      <w:r>
        <w:rPr>
          <w:rFonts w:hint="eastAsia" w:ascii="楷体_GB2312" w:hAnsi="Times New Roman" w:eastAsia="楷体_GB2312"/>
          <w:b/>
          <w:sz w:val="30"/>
          <w:szCs w:val="30"/>
          <w:lang w:eastAsia="zh-CN"/>
        </w:rPr>
        <w:t>单位</w:t>
      </w:r>
      <w:r>
        <w:rPr>
          <w:rFonts w:hint="eastAsia" w:ascii="楷体_GB2312" w:hAnsi="Times New Roman" w:eastAsia="楷体_GB2312"/>
          <w:b/>
          <w:sz w:val="30"/>
          <w:szCs w:val="30"/>
        </w:rPr>
        <w:t>收支总体情况表》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二、《</w:t>
      </w:r>
      <w:r>
        <w:rPr>
          <w:rFonts w:hint="eastAsia" w:ascii="楷体_GB2312" w:hAnsi="Times New Roman" w:eastAsia="楷体_GB2312"/>
          <w:b/>
          <w:sz w:val="30"/>
          <w:szCs w:val="30"/>
          <w:lang w:eastAsia="zh-CN"/>
        </w:rPr>
        <w:t>单位</w:t>
      </w:r>
      <w:r>
        <w:rPr>
          <w:rFonts w:hint="eastAsia" w:ascii="楷体_GB2312" w:hAnsi="Times New Roman" w:eastAsia="楷体_GB2312"/>
          <w:b/>
          <w:sz w:val="30"/>
          <w:szCs w:val="30"/>
        </w:rPr>
        <w:t>收入总体情况表》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三、《</w:t>
      </w:r>
      <w:r>
        <w:rPr>
          <w:rFonts w:hint="eastAsia" w:ascii="楷体_GB2312" w:hAnsi="Times New Roman" w:eastAsia="楷体_GB2312"/>
          <w:b/>
          <w:sz w:val="30"/>
          <w:szCs w:val="30"/>
          <w:lang w:eastAsia="zh-CN"/>
        </w:rPr>
        <w:t>单位</w:t>
      </w:r>
      <w:r>
        <w:rPr>
          <w:rFonts w:hint="eastAsia" w:ascii="楷体_GB2312" w:hAnsi="Times New Roman" w:eastAsia="楷体_GB2312"/>
          <w:b/>
          <w:sz w:val="30"/>
          <w:szCs w:val="30"/>
        </w:rPr>
        <w:t>支出总体情况表》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四、《财政拨款收支总体情况表》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五、《一般公共预算支出情况表》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六、《一般公共预算基本支出情况表》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七、《一般公共预算“三公”经费支出情况表》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八、《政府性基金预算支出情况表》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九、《国有资本经营预算支出情况表》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十、《项目支出表》</w:t>
      </w:r>
    </w:p>
    <w:p>
      <w:pPr>
        <w:spacing w:line="560" w:lineRule="exact"/>
        <w:ind w:left="480" w:leftChars="200"/>
        <w:rPr>
          <w:rFonts w:hint="eastAsia" w:ascii="楷体_GB2312" w:hAnsi="Times New Roman" w:eastAsia="楷体_GB2312"/>
          <w:b/>
          <w:sz w:val="30"/>
          <w:szCs w:val="30"/>
        </w:rPr>
      </w:pPr>
      <w:r>
        <w:rPr>
          <w:rFonts w:hint="eastAsia" w:ascii="楷体_GB2312" w:hAnsi="Times New Roman" w:eastAsia="楷体_GB2312"/>
          <w:b/>
          <w:sz w:val="30"/>
          <w:szCs w:val="30"/>
        </w:rPr>
        <w:t>十一、关于空表的说明</w:t>
      </w:r>
      <w:r>
        <w:rPr>
          <w:rFonts w:hint="eastAsia" w:ascii="楷体_GB2312" w:hAnsi="Times New Roman" w:eastAsia="楷体_GB2312"/>
          <w:b/>
          <w:sz w:val="30"/>
          <w:szCs w:val="30"/>
        </w:rPr>
        <w:tab/>
      </w:r>
    </w:p>
    <w:p>
      <w:pPr>
        <w:spacing w:line="560" w:lineRule="exact"/>
        <w:ind w:firstLine="600" w:firstLineChars="200"/>
        <w:rPr>
          <w:rFonts w:hint="eastAsia"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</w:rPr>
        <w:t>1.本</w:t>
      </w:r>
      <w:r>
        <w:rPr>
          <w:rFonts w:hint="eastAsia" w:eastAsia="楷体_GB2312"/>
          <w:sz w:val="30"/>
          <w:szCs w:val="30"/>
          <w:lang w:eastAsia="zh-CN"/>
        </w:rPr>
        <w:t>单位</w:t>
      </w:r>
      <w:r>
        <w:rPr>
          <w:rFonts w:hint="eastAsia" w:eastAsia="楷体_GB2312"/>
          <w:sz w:val="30"/>
          <w:szCs w:val="30"/>
        </w:rPr>
        <w:t>2023年一般公共预算“三公”经费支出情况表为空表。</w:t>
      </w:r>
    </w:p>
    <w:p>
      <w:pPr>
        <w:spacing w:line="560" w:lineRule="exact"/>
        <w:ind w:firstLine="600" w:firstLineChars="200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  <w:lang w:val="en-US" w:eastAsia="zh-CN"/>
        </w:rPr>
        <w:t>2</w:t>
      </w:r>
      <w:r>
        <w:rPr>
          <w:rFonts w:hint="eastAsia" w:eastAsia="楷体_GB2312"/>
          <w:sz w:val="30"/>
          <w:szCs w:val="30"/>
        </w:rPr>
        <w:t>.本</w:t>
      </w:r>
      <w:r>
        <w:rPr>
          <w:rFonts w:hint="eastAsia" w:eastAsia="楷体_GB2312"/>
          <w:sz w:val="30"/>
          <w:szCs w:val="30"/>
          <w:lang w:eastAsia="zh-CN"/>
        </w:rPr>
        <w:t>单位</w:t>
      </w:r>
      <w:r>
        <w:rPr>
          <w:rFonts w:eastAsia="楷体_GB2312"/>
          <w:sz w:val="30"/>
          <w:szCs w:val="30"/>
        </w:rPr>
        <w:t>20</w:t>
      </w:r>
      <w:r>
        <w:rPr>
          <w:rFonts w:hint="eastAsia" w:eastAsia="楷体_GB2312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年</w:t>
      </w:r>
      <w:r>
        <w:rPr>
          <w:rFonts w:hint="eastAsia" w:eastAsia="楷体_GB2312"/>
          <w:sz w:val="30"/>
          <w:szCs w:val="30"/>
        </w:rPr>
        <w:t>政府性基金预算支出情况表为空表。</w:t>
      </w:r>
    </w:p>
    <w:p>
      <w:pPr>
        <w:spacing w:line="560" w:lineRule="exact"/>
        <w:ind w:firstLine="600" w:firstLineChars="200"/>
        <w:rPr>
          <w:rFonts w:eastAsia="楷体_GB2312"/>
          <w:sz w:val="30"/>
          <w:szCs w:val="30"/>
        </w:rPr>
      </w:pPr>
      <w:r>
        <w:rPr>
          <w:rFonts w:hint="eastAsia" w:eastAsia="楷体_GB2312"/>
          <w:sz w:val="30"/>
          <w:szCs w:val="30"/>
          <w:lang w:val="en-US" w:eastAsia="zh-CN"/>
        </w:rPr>
        <w:t>3</w:t>
      </w:r>
      <w:r>
        <w:rPr>
          <w:rFonts w:hint="eastAsia" w:eastAsia="楷体_GB2312"/>
          <w:sz w:val="30"/>
          <w:szCs w:val="30"/>
        </w:rPr>
        <w:t>.本</w:t>
      </w:r>
      <w:r>
        <w:rPr>
          <w:rFonts w:hint="eastAsia" w:eastAsia="楷体_GB2312"/>
          <w:sz w:val="30"/>
          <w:szCs w:val="30"/>
          <w:lang w:eastAsia="zh-CN"/>
        </w:rPr>
        <w:t>单位</w:t>
      </w:r>
      <w:r>
        <w:rPr>
          <w:rFonts w:eastAsia="楷体_GB2312"/>
          <w:sz w:val="30"/>
          <w:szCs w:val="30"/>
        </w:rPr>
        <w:t>20</w:t>
      </w:r>
      <w:r>
        <w:rPr>
          <w:rFonts w:hint="eastAsia" w:eastAsia="楷体_GB2312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年</w:t>
      </w:r>
      <w:r>
        <w:rPr>
          <w:rFonts w:hint="eastAsia" w:eastAsia="楷体_GB2312"/>
          <w:sz w:val="30"/>
          <w:szCs w:val="30"/>
        </w:rPr>
        <w:t>国有资本经营预算支出情况表为空表。</w:t>
      </w:r>
    </w:p>
    <w:p>
      <w:pPr>
        <w:spacing w:line="560" w:lineRule="exact"/>
        <w:rPr>
          <w:rFonts w:hint="eastAsia" w:eastAsia="楷体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eastAsia="楷体_GB2312"/>
          <w:sz w:val="30"/>
          <w:szCs w:val="30"/>
        </w:rPr>
      </w:pPr>
      <w:r>
        <w:rPr>
          <w:rFonts w:hint="eastAsia" w:eastAsia="楷体"/>
          <w:sz w:val="30"/>
          <w:szCs w:val="30"/>
        </w:rPr>
        <w:t>注：以上预算公开表均作为附表，附于预算公开说明文档后。</w:t>
      </w:r>
    </w:p>
    <w:sectPr>
      <w:footerReference r:id="rId8" w:type="default"/>
      <w:pgSz w:w="11907" w:h="16840"/>
      <w:pgMar w:top="2098" w:right="1474" w:bottom="1304" w:left="1588" w:header="765" w:footer="765" w:gutter="0"/>
      <w:pgNumType w:fmt="numberInDash" w:start="1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E118C3-BF4E-4499-A44E-FC1D46DA92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109CCCF-8B1D-4AC2-A81E-2C0BCBC90AB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834A762-FD2F-4A34-BC47-955BAD5D9E9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BFD1480-830F-4C25-8A5F-2AF167111FD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277F5DF2-9538-437B-A96E-EBC37BB2D76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10 -</w:t>
    </w:r>
    <w:r>
      <w:fldChar w:fldCharType="end"/>
    </w:r>
  </w:p>
  <w:p>
    <w:pPr>
      <w:pStyle w:val="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5A5549"/>
    <w:multiLevelType w:val="singleLevel"/>
    <w:tmpl w:val="B85A554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ZjI0ZGU1NDcyZjkzYzQxNDY5ZTI1N2U5YmJkMDYifQ=="/>
    <w:docVar w:name="KSO_WPS_MARK_KEY" w:val="4fa0a402-00c8-4d6e-ade5-479e01d73934"/>
  </w:docVars>
  <w:rsids>
    <w:rsidRoot w:val="00937D77"/>
    <w:rsid w:val="0001204D"/>
    <w:rsid w:val="00014B7E"/>
    <w:rsid w:val="00020DAE"/>
    <w:rsid w:val="00025DCF"/>
    <w:rsid w:val="00026B49"/>
    <w:rsid w:val="000279BC"/>
    <w:rsid w:val="00035889"/>
    <w:rsid w:val="0003736F"/>
    <w:rsid w:val="00040A70"/>
    <w:rsid w:val="000546FB"/>
    <w:rsid w:val="00055156"/>
    <w:rsid w:val="000561F0"/>
    <w:rsid w:val="00066DA5"/>
    <w:rsid w:val="00081133"/>
    <w:rsid w:val="00082771"/>
    <w:rsid w:val="00093F1A"/>
    <w:rsid w:val="00097C4D"/>
    <w:rsid w:val="000A4C45"/>
    <w:rsid w:val="000A6A5A"/>
    <w:rsid w:val="000B1B04"/>
    <w:rsid w:val="000B5758"/>
    <w:rsid w:val="000C211F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07F74"/>
    <w:rsid w:val="00141FB3"/>
    <w:rsid w:val="00143640"/>
    <w:rsid w:val="00146622"/>
    <w:rsid w:val="00151DB8"/>
    <w:rsid w:val="00151E56"/>
    <w:rsid w:val="00154D50"/>
    <w:rsid w:val="001574DB"/>
    <w:rsid w:val="001616F8"/>
    <w:rsid w:val="001639E6"/>
    <w:rsid w:val="0016548E"/>
    <w:rsid w:val="00167781"/>
    <w:rsid w:val="0017420B"/>
    <w:rsid w:val="001743A6"/>
    <w:rsid w:val="0019552B"/>
    <w:rsid w:val="001A1316"/>
    <w:rsid w:val="001A58F7"/>
    <w:rsid w:val="001B47FB"/>
    <w:rsid w:val="001C525C"/>
    <w:rsid w:val="001E4814"/>
    <w:rsid w:val="001F43D8"/>
    <w:rsid w:val="001F69BB"/>
    <w:rsid w:val="0020344E"/>
    <w:rsid w:val="00217977"/>
    <w:rsid w:val="00222775"/>
    <w:rsid w:val="00223D56"/>
    <w:rsid w:val="00225E9E"/>
    <w:rsid w:val="002319C9"/>
    <w:rsid w:val="00235DDA"/>
    <w:rsid w:val="002456BF"/>
    <w:rsid w:val="00252DD7"/>
    <w:rsid w:val="002568D5"/>
    <w:rsid w:val="0026664B"/>
    <w:rsid w:val="00290082"/>
    <w:rsid w:val="00290EAC"/>
    <w:rsid w:val="00293ACA"/>
    <w:rsid w:val="002A1782"/>
    <w:rsid w:val="002A23DC"/>
    <w:rsid w:val="002A3DBF"/>
    <w:rsid w:val="002D67AE"/>
    <w:rsid w:val="002D715E"/>
    <w:rsid w:val="002E3C02"/>
    <w:rsid w:val="002F0601"/>
    <w:rsid w:val="002F0F40"/>
    <w:rsid w:val="002F0F49"/>
    <w:rsid w:val="00304097"/>
    <w:rsid w:val="003147A8"/>
    <w:rsid w:val="0032641E"/>
    <w:rsid w:val="003407F4"/>
    <w:rsid w:val="00343F3E"/>
    <w:rsid w:val="0035053A"/>
    <w:rsid w:val="0035182A"/>
    <w:rsid w:val="003609DB"/>
    <w:rsid w:val="00361453"/>
    <w:rsid w:val="00364050"/>
    <w:rsid w:val="00364294"/>
    <w:rsid w:val="003734E1"/>
    <w:rsid w:val="00381526"/>
    <w:rsid w:val="00386D08"/>
    <w:rsid w:val="00391275"/>
    <w:rsid w:val="003929CE"/>
    <w:rsid w:val="003A5370"/>
    <w:rsid w:val="003A7D0E"/>
    <w:rsid w:val="003B24BB"/>
    <w:rsid w:val="003B3A66"/>
    <w:rsid w:val="003C1B4D"/>
    <w:rsid w:val="003C2CCF"/>
    <w:rsid w:val="003D48A4"/>
    <w:rsid w:val="003D647A"/>
    <w:rsid w:val="003E3EA7"/>
    <w:rsid w:val="003F4CDB"/>
    <w:rsid w:val="00404E18"/>
    <w:rsid w:val="00406A09"/>
    <w:rsid w:val="004139C1"/>
    <w:rsid w:val="004178F1"/>
    <w:rsid w:val="00421C5C"/>
    <w:rsid w:val="00424A5A"/>
    <w:rsid w:val="00452C1F"/>
    <w:rsid w:val="004645C1"/>
    <w:rsid w:val="004654FD"/>
    <w:rsid w:val="004660E2"/>
    <w:rsid w:val="0046727B"/>
    <w:rsid w:val="0047004A"/>
    <w:rsid w:val="00472621"/>
    <w:rsid w:val="00474C09"/>
    <w:rsid w:val="0048352E"/>
    <w:rsid w:val="004A5DF5"/>
    <w:rsid w:val="004A6EE3"/>
    <w:rsid w:val="004B0888"/>
    <w:rsid w:val="004C0EED"/>
    <w:rsid w:val="004C1F92"/>
    <w:rsid w:val="004D2A21"/>
    <w:rsid w:val="004E5901"/>
    <w:rsid w:val="004E7F96"/>
    <w:rsid w:val="004F1D8F"/>
    <w:rsid w:val="004F304B"/>
    <w:rsid w:val="00507FC2"/>
    <w:rsid w:val="00513E0C"/>
    <w:rsid w:val="00531F24"/>
    <w:rsid w:val="00534FC8"/>
    <w:rsid w:val="005442FD"/>
    <w:rsid w:val="00547CCA"/>
    <w:rsid w:val="0055334A"/>
    <w:rsid w:val="0056218D"/>
    <w:rsid w:val="00563DE0"/>
    <w:rsid w:val="00566B36"/>
    <w:rsid w:val="005717FD"/>
    <w:rsid w:val="00577762"/>
    <w:rsid w:val="00585D27"/>
    <w:rsid w:val="0058731A"/>
    <w:rsid w:val="00587691"/>
    <w:rsid w:val="0059010F"/>
    <w:rsid w:val="0059248B"/>
    <w:rsid w:val="005B0F7B"/>
    <w:rsid w:val="005B3956"/>
    <w:rsid w:val="005B5E4D"/>
    <w:rsid w:val="005C0A1F"/>
    <w:rsid w:val="005C3C59"/>
    <w:rsid w:val="005D0C85"/>
    <w:rsid w:val="005D5F3F"/>
    <w:rsid w:val="005E595A"/>
    <w:rsid w:val="005E5D2D"/>
    <w:rsid w:val="005E642E"/>
    <w:rsid w:val="005F3D28"/>
    <w:rsid w:val="005F52AE"/>
    <w:rsid w:val="005F6E16"/>
    <w:rsid w:val="00602A30"/>
    <w:rsid w:val="006054BF"/>
    <w:rsid w:val="00617301"/>
    <w:rsid w:val="00646289"/>
    <w:rsid w:val="00646C58"/>
    <w:rsid w:val="0065320E"/>
    <w:rsid w:val="00664752"/>
    <w:rsid w:val="00673ABE"/>
    <w:rsid w:val="006777CE"/>
    <w:rsid w:val="006934E1"/>
    <w:rsid w:val="00694200"/>
    <w:rsid w:val="0069616E"/>
    <w:rsid w:val="006A0604"/>
    <w:rsid w:val="006A7042"/>
    <w:rsid w:val="006A7123"/>
    <w:rsid w:val="006B0F4B"/>
    <w:rsid w:val="006D456D"/>
    <w:rsid w:val="006D7313"/>
    <w:rsid w:val="006E5C14"/>
    <w:rsid w:val="006F408B"/>
    <w:rsid w:val="00703777"/>
    <w:rsid w:val="00716804"/>
    <w:rsid w:val="00737A20"/>
    <w:rsid w:val="0074381E"/>
    <w:rsid w:val="00754417"/>
    <w:rsid w:val="00795DC2"/>
    <w:rsid w:val="007B750A"/>
    <w:rsid w:val="007C0CD1"/>
    <w:rsid w:val="007C220B"/>
    <w:rsid w:val="007C257B"/>
    <w:rsid w:val="007C27C2"/>
    <w:rsid w:val="007C4FF4"/>
    <w:rsid w:val="007E0D5B"/>
    <w:rsid w:val="007E2276"/>
    <w:rsid w:val="007F218B"/>
    <w:rsid w:val="00810D0C"/>
    <w:rsid w:val="00824025"/>
    <w:rsid w:val="008277F5"/>
    <w:rsid w:val="00834617"/>
    <w:rsid w:val="0083475B"/>
    <w:rsid w:val="008370F2"/>
    <w:rsid w:val="00841058"/>
    <w:rsid w:val="00844953"/>
    <w:rsid w:val="00846C2E"/>
    <w:rsid w:val="00847B3C"/>
    <w:rsid w:val="00851ECC"/>
    <w:rsid w:val="00861D45"/>
    <w:rsid w:val="00866211"/>
    <w:rsid w:val="00890F33"/>
    <w:rsid w:val="008A2192"/>
    <w:rsid w:val="008A584F"/>
    <w:rsid w:val="008B0BE1"/>
    <w:rsid w:val="008C6A37"/>
    <w:rsid w:val="008D0B65"/>
    <w:rsid w:val="008D7A7F"/>
    <w:rsid w:val="008E4B67"/>
    <w:rsid w:val="008F0A65"/>
    <w:rsid w:val="008F7F2F"/>
    <w:rsid w:val="0090543A"/>
    <w:rsid w:val="00912DED"/>
    <w:rsid w:val="009224E2"/>
    <w:rsid w:val="00922C71"/>
    <w:rsid w:val="00931ADF"/>
    <w:rsid w:val="009339F5"/>
    <w:rsid w:val="00933DD8"/>
    <w:rsid w:val="00934F3E"/>
    <w:rsid w:val="00937D77"/>
    <w:rsid w:val="00946BC0"/>
    <w:rsid w:val="00962587"/>
    <w:rsid w:val="009822BE"/>
    <w:rsid w:val="00990C9A"/>
    <w:rsid w:val="009970B7"/>
    <w:rsid w:val="009A08A7"/>
    <w:rsid w:val="009A3307"/>
    <w:rsid w:val="009A41AC"/>
    <w:rsid w:val="009A45FD"/>
    <w:rsid w:val="009A47C1"/>
    <w:rsid w:val="009B0D59"/>
    <w:rsid w:val="009B0FCC"/>
    <w:rsid w:val="009C3FA3"/>
    <w:rsid w:val="009C4227"/>
    <w:rsid w:val="009C5EC4"/>
    <w:rsid w:val="009D1FD1"/>
    <w:rsid w:val="009D2134"/>
    <w:rsid w:val="009E0550"/>
    <w:rsid w:val="009E6A2C"/>
    <w:rsid w:val="009F0927"/>
    <w:rsid w:val="00A01A53"/>
    <w:rsid w:val="00A020B8"/>
    <w:rsid w:val="00A02970"/>
    <w:rsid w:val="00A1342C"/>
    <w:rsid w:val="00A15BB3"/>
    <w:rsid w:val="00A169EE"/>
    <w:rsid w:val="00A25266"/>
    <w:rsid w:val="00A325D0"/>
    <w:rsid w:val="00A37FB3"/>
    <w:rsid w:val="00A410A3"/>
    <w:rsid w:val="00A43941"/>
    <w:rsid w:val="00A47777"/>
    <w:rsid w:val="00A50357"/>
    <w:rsid w:val="00A52A4D"/>
    <w:rsid w:val="00A54C43"/>
    <w:rsid w:val="00A54C55"/>
    <w:rsid w:val="00A62D36"/>
    <w:rsid w:val="00A64852"/>
    <w:rsid w:val="00A6594C"/>
    <w:rsid w:val="00A74096"/>
    <w:rsid w:val="00A8081F"/>
    <w:rsid w:val="00A8708A"/>
    <w:rsid w:val="00A918A4"/>
    <w:rsid w:val="00A91C28"/>
    <w:rsid w:val="00A96D04"/>
    <w:rsid w:val="00AB093E"/>
    <w:rsid w:val="00AB791A"/>
    <w:rsid w:val="00AC0500"/>
    <w:rsid w:val="00AC3444"/>
    <w:rsid w:val="00AC4DF4"/>
    <w:rsid w:val="00AD51D9"/>
    <w:rsid w:val="00AD6740"/>
    <w:rsid w:val="00AD6772"/>
    <w:rsid w:val="00AE14F7"/>
    <w:rsid w:val="00AE3DA6"/>
    <w:rsid w:val="00AF0A58"/>
    <w:rsid w:val="00AF121D"/>
    <w:rsid w:val="00AF38CA"/>
    <w:rsid w:val="00B03433"/>
    <w:rsid w:val="00B100CB"/>
    <w:rsid w:val="00B1463F"/>
    <w:rsid w:val="00B25010"/>
    <w:rsid w:val="00B370F4"/>
    <w:rsid w:val="00B4348E"/>
    <w:rsid w:val="00B45D35"/>
    <w:rsid w:val="00B47C04"/>
    <w:rsid w:val="00B53EC1"/>
    <w:rsid w:val="00B66FA2"/>
    <w:rsid w:val="00B757C2"/>
    <w:rsid w:val="00B90553"/>
    <w:rsid w:val="00B91762"/>
    <w:rsid w:val="00B91BBF"/>
    <w:rsid w:val="00B93818"/>
    <w:rsid w:val="00BA2588"/>
    <w:rsid w:val="00BA3C6F"/>
    <w:rsid w:val="00BA407A"/>
    <w:rsid w:val="00BB359F"/>
    <w:rsid w:val="00BB423E"/>
    <w:rsid w:val="00BC0DF6"/>
    <w:rsid w:val="00BC3841"/>
    <w:rsid w:val="00BC5E5F"/>
    <w:rsid w:val="00BC76FF"/>
    <w:rsid w:val="00BF3615"/>
    <w:rsid w:val="00BF54DA"/>
    <w:rsid w:val="00BF7933"/>
    <w:rsid w:val="00C1455B"/>
    <w:rsid w:val="00C148BB"/>
    <w:rsid w:val="00C149C4"/>
    <w:rsid w:val="00C17C17"/>
    <w:rsid w:val="00C24562"/>
    <w:rsid w:val="00C378B1"/>
    <w:rsid w:val="00C435D4"/>
    <w:rsid w:val="00C50520"/>
    <w:rsid w:val="00C63085"/>
    <w:rsid w:val="00C64EC0"/>
    <w:rsid w:val="00C70269"/>
    <w:rsid w:val="00C73CFA"/>
    <w:rsid w:val="00C77359"/>
    <w:rsid w:val="00C8411D"/>
    <w:rsid w:val="00C84F06"/>
    <w:rsid w:val="00C96C5A"/>
    <w:rsid w:val="00CA1B19"/>
    <w:rsid w:val="00CA68E2"/>
    <w:rsid w:val="00CB0036"/>
    <w:rsid w:val="00CB119F"/>
    <w:rsid w:val="00CC066C"/>
    <w:rsid w:val="00CE05B1"/>
    <w:rsid w:val="00CE5A0A"/>
    <w:rsid w:val="00CE6EAE"/>
    <w:rsid w:val="00CE7964"/>
    <w:rsid w:val="00CE7AC9"/>
    <w:rsid w:val="00CE7B3E"/>
    <w:rsid w:val="00CF3C5E"/>
    <w:rsid w:val="00D055B0"/>
    <w:rsid w:val="00D07F2D"/>
    <w:rsid w:val="00D13688"/>
    <w:rsid w:val="00D14C1F"/>
    <w:rsid w:val="00D15FA8"/>
    <w:rsid w:val="00D23D4D"/>
    <w:rsid w:val="00D27938"/>
    <w:rsid w:val="00D27B83"/>
    <w:rsid w:val="00D51CC5"/>
    <w:rsid w:val="00D55851"/>
    <w:rsid w:val="00D574FF"/>
    <w:rsid w:val="00D608C7"/>
    <w:rsid w:val="00D8056F"/>
    <w:rsid w:val="00D877BB"/>
    <w:rsid w:val="00D91D08"/>
    <w:rsid w:val="00D92B61"/>
    <w:rsid w:val="00DB28E7"/>
    <w:rsid w:val="00DB3194"/>
    <w:rsid w:val="00DC08C9"/>
    <w:rsid w:val="00DD6E45"/>
    <w:rsid w:val="00DE477D"/>
    <w:rsid w:val="00DE5D74"/>
    <w:rsid w:val="00DE7CDF"/>
    <w:rsid w:val="00DF0B81"/>
    <w:rsid w:val="00DF2103"/>
    <w:rsid w:val="00DF4EF1"/>
    <w:rsid w:val="00DF6570"/>
    <w:rsid w:val="00E01833"/>
    <w:rsid w:val="00E27103"/>
    <w:rsid w:val="00E37F65"/>
    <w:rsid w:val="00E51564"/>
    <w:rsid w:val="00E62551"/>
    <w:rsid w:val="00E65451"/>
    <w:rsid w:val="00E65BBC"/>
    <w:rsid w:val="00E74166"/>
    <w:rsid w:val="00E75826"/>
    <w:rsid w:val="00E804B9"/>
    <w:rsid w:val="00E8177A"/>
    <w:rsid w:val="00E839D5"/>
    <w:rsid w:val="00E872DD"/>
    <w:rsid w:val="00E90B38"/>
    <w:rsid w:val="00E90C89"/>
    <w:rsid w:val="00E95C79"/>
    <w:rsid w:val="00EA4975"/>
    <w:rsid w:val="00EA6A5C"/>
    <w:rsid w:val="00EB06BE"/>
    <w:rsid w:val="00EB6AAF"/>
    <w:rsid w:val="00EE59CA"/>
    <w:rsid w:val="00F11449"/>
    <w:rsid w:val="00F211C0"/>
    <w:rsid w:val="00F224AE"/>
    <w:rsid w:val="00F5220F"/>
    <w:rsid w:val="00F54E60"/>
    <w:rsid w:val="00F5688C"/>
    <w:rsid w:val="00F619E7"/>
    <w:rsid w:val="00F67141"/>
    <w:rsid w:val="00F720C0"/>
    <w:rsid w:val="00F729CE"/>
    <w:rsid w:val="00F81314"/>
    <w:rsid w:val="00F86B2D"/>
    <w:rsid w:val="00F86C27"/>
    <w:rsid w:val="00F86DF0"/>
    <w:rsid w:val="00F943D8"/>
    <w:rsid w:val="00FB4035"/>
    <w:rsid w:val="00FC57FA"/>
    <w:rsid w:val="00FE3D89"/>
    <w:rsid w:val="00FE7BA7"/>
    <w:rsid w:val="00FF1C3D"/>
    <w:rsid w:val="03062A9E"/>
    <w:rsid w:val="078C305E"/>
    <w:rsid w:val="0C540FAF"/>
    <w:rsid w:val="0DDF2AFB"/>
    <w:rsid w:val="12D55BED"/>
    <w:rsid w:val="1B67034F"/>
    <w:rsid w:val="1D681DEC"/>
    <w:rsid w:val="1E110AAE"/>
    <w:rsid w:val="2342170A"/>
    <w:rsid w:val="234C01A0"/>
    <w:rsid w:val="268758BC"/>
    <w:rsid w:val="2B682DDC"/>
    <w:rsid w:val="2ED81174"/>
    <w:rsid w:val="2F3E191F"/>
    <w:rsid w:val="3557428F"/>
    <w:rsid w:val="37A4248B"/>
    <w:rsid w:val="3A567FF3"/>
    <w:rsid w:val="3D407E3C"/>
    <w:rsid w:val="3FCB28EB"/>
    <w:rsid w:val="40956B0D"/>
    <w:rsid w:val="40DF41A6"/>
    <w:rsid w:val="418F080C"/>
    <w:rsid w:val="44C61D23"/>
    <w:rsid w:val="45D64208"/>
    <w:rsid w:val="45E85A95"/>
    <w:rsid w:val="475049E4"/>
    <w:rsid w:val="4E1E02D7"/>
    <w:rsid w:val="4F204931"/>
    <w:rsid w:val="630111B8"/>
    <w:rsid w:val="693A5856"/>
    <w:rsid w:val="6A2D5246"/>
    <w:rsid w:val="6BDB6A8A"/>
    <w:rsid w:val="73A82400"/>
    <w:rsid w:val="748F20DD"/>
    <w:rsid w:val="74C073E5"/>
    <w:rsid w:val="77EFDD89"/>
    <w:rsid w:val="7DD12A33"/>
    <w:rsid w:val="7ECE503D"/>
    <w:rsid w:val="DEFFAB64"/>
    <w:rsid w:val="F51C35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S Serif" w:hAnsi="MS Serif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MS Serif" w:hAnsi="MS Serif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tLeast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9"/>
    <w:pPr>
      <w:keepNext/>
      <w:keepLines/>
      <w:spacing w:before="260" w:after="260" w:line="416" w:lineRule="atLeast"/>
      <w:outlineLvl w:val="1"/>
    </w:pPr>
    <w:rPr>
      <w:rFonts w:ascii="Cambria" w:hAnsi="Cambria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5">
    <w:name w:val="Balloon Text"/>
    <w:basedOn w:val="1"/>
    <w:link w:val="14"/>
    <w:autoRedefine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toc 2"/>
    <w:basedOn w:val="1"/>
    <w:next w:val="1"/>
    <w:autoRedefine/>
    <w:unhideWhenUsed/>
    <w:qFormat/>
    <w:uiPriority w:val="39"/>
    <w:pPr>
      <w:widowControl/>
      <w:adjustRightInd/>
      <w:spacing w:after="100" w:line="276" w:lineRule="auto"/>
      <w:ind w:left="220"/>
      <w:textAlignment w:val="auto"/>
    </w:pPr>
    <w:rPr>
      <w:rFonts w:ascii="Calibri" w:hAnsi="Calibri"/>
      <w:sz w:val="22"/>
      <w:szCs w:val="22"/>
    </w:rPr>
  </w:style>
  <w:style w:type="character" w:styleId="11">
    <w:name w:val="page number"/>
    <w:qFormat/>
    <w:uiPriority w:val="0"/>
  </w:style>
  <w:style w:type="character" w:customStyle="1" w:styleId="12">
    <w:name w:val="标题 1 Char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13">
    <w:name w:val="标题 2 Char"/>
    <w:link w:val="3"/>
    <w:qFormat/>
    <w:uiPriority w:val="9"/>
    <w:rPr>
      <w:rFonts w:ascii="Cambria" w:hAnsi="Cambria"/>
      <w:b/>
      <w:bCs/>
      <w:sz w:val="32"/>
      <w:szCs w:val="32"/>
    </w:rPr>
  </w:style>
  <w:style w:type="character" w:customStyle="1" w:styleId="14">
    <w:name w:val="批注框文本 Char"/>
    <w:link w:val="5"/>
    <w:autoRedefine/>
    <w:qFormat/>
    <w:uiPriority w:val="0"/>
    <w:rPr>
      <w:sz w:val="18"/>
      <w:szCs w:val="18"/>
    </w:rPr>
  </w:style>
  <w:style w:type="character" w:customStyle="1" w:styleId="15">
    <w:name w:val="页脚 Char"/>
    <w:link w:val="6"/>
    <w:autoRedefine/>
    <w:qFormat/>
    <w:uiPriority w:val="99"/>
    <w:rPr>
      <w:sz w:val="18"/>
      <w:szCs w:val="18"/>
    </w:rPr>
  </w:style>
  <w:style w:type="paragraph" w:customStyle="1" w:styleId="16">
    <w:name w:val="Char Char"/>
    <w:basedOn w:val="4"/>
    <w:qFormat/>
    <w:uiPriority w:val="0"/>
    <w:pPr>
      <w:adjustRightInd/>
      <w:spacing w:line="240" w:lineRule="auto"/>
      <w:jc w:val="both"/>
      <w:textAlignment w:val="auto"/>
    </w:pPr>
  </w:style>
  <w:style w:type="paragraph" w:styleId="17">
    <w:name w:val="List Paragraph"/>
    <w:basedOn w:val="1"/>
    <w:autoRedefine/>
    <w:qFormat/>
    <w:uiPriority w:val="34"/>
    <w:pPr>
      <w:adjustRightIn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4299</Words>
  <Characters>4706</Characters>
  <Lines>34</Lines>
  <Paragraphs>9</Paragraphs>
  <TotalTime>66</TotalTime>
  <ScaleCrop>false</ScaleCrop>
  <LinksUpToDate>false</LinksUpToDate>
  <CharactersWithSpaces>4784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2019-01-31T15:44:00Z</dcterms:created>
  <dc:creator>朱春礼</dc:creator>
  <cp:lastModifiedBy>瘋丫頭</cp:lastModifiedBy>
  <cp:lastPrinted>2022-01-18T17:13:00Z</cp:lastPrinted>
  <dcterms:modified xsi:type="dcterms:W3CDTF">2024-02-27T02:16:38Z</dcterms:modified>
  <dc:title>附件1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DE8EDE79B2C447BBBC43FB59D07D9BAF</vt:lpwstr>
  </property>
</Properties>
</file>