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文星标宋" w:hAnsi="文星标宋" w:eastAsia="文星标宋" w:cs="Times New Roman"/>
          <w:b w:val="0"/>
          <w:bCs w:val="0"/>
          <w:sz w:val="44"/>
          <w:szCs w:val="44"/>
          <w:lang w:eastAsia="zh-CN"/>
        </w:rPr>
      </w:pPr>
      <w:r>
        <w:rPr>
          <w:rFonts w:hint="eastAsia" w:ascii="文星标宋" w:hAnsi="文星标宋" w:eastAsia="文星标宋" w:cs="Times New Roman"/>
          <w:b w:val="0"/>
          <w:bCs w:val="0"/>
          <w:sz w:val="44"/>
          <w:szCs w:val="44"/>
        </w:rPr>
        <w:t>市卫生健康委对</w:t>
      </w:r>
      <w:r>
        <w:rPr>
          <w:rFonts w:hint="eastAsia" w:ascii="文星标宋" w:hAnsi="文星标宋" w:eastAsia="文星标宋" w:cs="Times New Roman"/>
          <w:b w:val="0"/>
          <w:bCs w:val="0"/>
          <w:sz w:val="44"/>
          <w:szCs w:val="44"/>
          <w:lang w:val="en" w:eastAsia="zh-CN"/>
        </w:rPr>
        <w:t>天津市安定医院</w:t>
      </w:r>
      <w:r>
        <w:rPr>
          <w:rFonts w:hint="eastAsia" w:ascii="文星标宋" w:hAnsi="文星标宋" w:eastAsia="文星标宋" w:cs="Times New Roman"/>
          <w:b w:val="0"/>
          <w:bCs w:val="0"/>
          <w:sz w:val="44"/>
          <w:szCs w:val="44"/>
          <w:lang w:eastAsia="zh-CN"/>
        </w:rPr>
        <w:t>任中</w:t>
      </w:r>
    </w:p>
    <w:p>
      <w:pPr>
        <w:jc w:val="center"/>
        <w:rPr>
          <w:rFonts w:ascii="文星标宋" w:hAnsi="文星标宋" w:eastAsia="文星标宋" w:cs="Times New Roman"/>
          <w:b w:val="0"/>
          <w:bCs w:val="0"/>
          <w:sz w:val="44"/>
          <w:szCs w:val="44"/>
        </w:rPr>
      </w:pPr>
      <w:r>
        <w:rPr>
          <w:rFonts w:hint="eastAsia" w:ascii="文星标宋" w:hAnsi="文星标宋" w:eastAsia="文星标宋" w:cs="Times New Roman"/>
          <w:b w:val="0"/>
          <w:bCs w:val="0"/>
          <w:sz w:val="44"/>
          <w:szCs w:val="44"/>
        </w:rPr>
        <w:t>经济责任审计的补充要求（补充业务约定书）</w:t>
      </w:r>
    </w:p>
    <w:p>
      <w:pPr>
        <w:ind w:firstLine="640" w:firstLineChars="200"/>
        <w:rPr>
          <w:rFonts w:ascii="仿宋_GB2312" w:hAnsi="仿宋" w:eastAsia="仿宋_GB2312" w:cs="Times New Roman"/>
          <w:b w:val="0"/>
          <w:bCs w:val="0"/>
          <w:color w:val="000000"/>
          <w:sz w:val="32"/>
          <w:szCs w:val="32"/>
        </w:rPr>
      </w:pPr>
    </w:p>
    <w:p>
      <w:pPr>
        <w:ind w:firstLine="640" w:firstLineChars="200"/>
        <w:rPr>
          <w:rFonts w:ascii="仿宋_GB2312" w:hAnsi="仿宋" w:eastAsia="仿宋_GB2312" w:cs="Times New Roman"/>
          <w:b w:val="0"/>
          <w:bCs w:val="0"/>
          <w:color w:val="000000"/>
          <w:sz w:val="32"/>
          <w:szCs w:val="32"/>
          <w:u w:val="single"/>
        </w:rPr>
      </w:pPr>
      <w:r>
        <w:rPr>
          <w:rFonts w:hint="eastAsia" w:ascii="仿宋_GB2312" w:hAnsi="仿宋" w:eastAsia="仿宋_GB2312" w:cs="Times New Roman"/>
          <w:b w:val="0"/>
          <w:bCs w:val="0"/>
          <w:color w:val="000000"/>
          <w:sz w:val="32"/>
          <w:szCs w:val="32"/>
          <w:u w:val="single"/>
        </w:rPr>
        <w:t>甲方：天津市卫生健康委</w:t>
      </w:r>
    </w:p>
    <w:p>
      <w:pPr>
        <w:ind w:firstLine="640" w:firstLineChars="200"/>
        <w:rPr>
          <w:rFonts w:hint="eastAsia" w:ascii="仿宋_GB2312" w:hAnsi="仿宋" w:eastAsia="仿宋_GB2312" w:cs="Times New Roman"/>
          <w:b w:val="0"/>
          <w:bCs w:val="0"/>
          <w:color w:val="000000"/>
          <w:sz w:val="32"/>
          <w:szCs w:val="32"/>
          <w:u w:val="single"/>
        </w:rPr>
      </w:pPr>
      <w:r>
        <w:rPr>
          <w:rFonts w:hint="eastAsia" w:ascii="仿宋_GB2312" w:hAnsi="仿宋" w:eastAsia="仿宋_GB2312" w:cs="Times New Roman"/>
          <w:b w:val="0"/>
          <w:bCs w:val="0"/>
          <w:color w:val="000000"/>
          <w:sz w:val="32"/>
          <w:szCs w:val="32"/>
          <w:u w:val="single"/>
        </w:rPr>
        <w:t>乙方：天津市安定医院</w:t>
      </w:r>
    </w:p>
    <w:p>
      <w:pPr>
        <w:ind w:firstLine="640" w:firstLineChars="200"/>
        <w:rPr>
          <w:rFonts w:hint="eastAsia" w:ascii="仿宋_GB2312" w:hAnsi="仿宋" w:eastAsia="仿宋_GB2312" w:cs="Times New Roman"/>
          <w:b w:val="0"/>
          <w:bCs w:val="0"/>
          <w:color w:val="000000"/>
          <w:sz w:val="32"/>
          <w:szCs w:val="32"/>
          <w:u w:val="single"/>
        </w:rPr>
      </w:pPr>
      <w:r>
        <w:rPr>
          <w:rFonts w:hint="eastAsia" w:ascii="仿宋_GB2312" w:hAnsi="仿宋" w:eastAsia="仿宋_GB2312" w:cs="Times New Roman"/>
          <w:b w:val="0"/>
          <w:bCs w:val="0"/>
          <w:color w:val="000000"/>
          <w:sz w:val="32"/>
          <w:szCs w:val="32"/>
          <w:u w:val="single"/>
        </w:rPr>
        <w:t>乙方：　　　　　　　　</w:t>
      </w:r>
    </w:p>
    <w:p>
      <w:pPr>
        <w:ind w:firstLine="640" w:firstLineChars="200"/>
        <w:rPr>
          <w:rFonts w:ascii="仿宋_GB2312" w:hAnsi="仿宋" w:eastAsia="仿宋_GB2312" w:cs="Times New Roman"/>
          <w:b w:val="0"/>
          <w:bCs w:val="0"/>
          <w:color w:val="000000"/>
          <w:sz w:val="32"/>
          <w:szCs w:val="32"/>
        </w:rPr>
      </w:pPr>
      <w:r>
        <w:rPr>
          <w:rFonts w:hint="eastAsia" w:ascii="仿宋_GB2312" w:hAnsi="仿宋" w:eastAsia="仿宋_GB2312" w:cs="Times New Roman"/>
          <w:b w:val="0"/>
          <w:bCs w:val="0"/>
          <w:color w:val="000000"/>
          <w:sz w:val="32"/>
          <w:szCs w:val="32"/>
        </w:rPr>
        <w:t>经</w:t>
      </w:r>
      <w:r>
        <w:rPr>
          <w:rFonts w:hint="eastAsia" w:ascii="仿宋_GB2312" w:hAnsi="仿宋" w:eastAsia="仿宋_GB2312" w:cs="Times New Roman"/>
          <w:b w:val="0"/>
          <w:bCs w:val="0"/>
          <w:color w:val="000000"/>
          <w:sz w:val="32"/>
          <w:szCs w:val="32"/>
          <w:lang w:eastAsia="zh-CN"/>
        </w:rPr>
        <w:t>各</w:t>
      </w:r>
      <w:r>
        <w:rPr>
          <w:rFonts w:hint="eastAsia" w:ascii="仿宋_GB2312" w:hAnsi="仿宋" w:eastAsia="仿宋_GB2312" w:cs="Times New Roman"/>
          <w:b w:val="0"/>
          <w:bCs w:val="0"/>
          <w:color w:val="000000"/>
          <w:sz w:val="32"/>
          <w:szCs w:val="32"/>
        </w:rPr>
        <w:t>方协商，一致同意，下列要求作为业务约定书的补充部分，</w:t>
      </w:r>
      <w:r>
        <w:rPr>
          <w:rFonts w:hint="eastAsia" w:ascii="仿宋_GB2312" w:hAnsi="仿宋" w:eastAsia="仿宋_GB2312" w:cs="Times New Roman"/>
          <w:b w:val="0"/>
          <w:bCs w:val="0"/>
          <w:color w:val="000000"/>
          <w:sz w:val="28"/>
          <w:szCs w:val="28"/>
          <w:u w:val="thick"/>
        </w:rPr>
        <w:t xml:space="preserve">                   </w:t>
      </w:r>
      <w:r>
        <w:rPr>
          <w:rFonts w:hint="eastAsia" w:ascii="仿宋_GB2312" w:hAnsi="仿宋" w:eastAsia="仿宋_GB2312" w:cs="Times New Roman"/>
          <w:b w:val="0"/>
          <w:bCs w:val="0"/>
          <w:color w:val="000000"/>
          <w:sz w:val="32"/>
          <w:szCs w:val="32"/>
        </w:rPr>
        <w:t>（会计师事务所名称）已获知并理解相关内容，</w:t>
      </w:r>
      <w:r>
        <w:rPr>
          <w:rFonts w:hint="eastAsia" w:ascii="仿宋_GB2312" w:hAnsi="仿宋" w:eastAsia="仿宋_GB2312" w:cs="Times New Roman"/>
          <w:b w:val="0"/>
          <w:bCs w:val="0"/>
          <w:color w:val="000000"/>
          <w:sz w:val="32"/>
          <w:szCs w:val="32"/>
          <w:lang w:eastAsia="zh-CN"/>
        </w:rPr>
        <w:t>各</w:t>
      </w:r>
      <w:r>
        <w:rPr>
          <w:rFonts w:hint="eastAsia" w:ascii="仿宋_GB2312" w:hAnsi="仿宋" w:eastAsia="仿宋_GB2312" w:cs="Times New Roman"/>
          <w:b w:val="0"/>
          <w:bCs w:val="0"/>
          <w:color w:val="000000"/>
          <w:sz w:val="32"/>
          <w:szCs w:val="32"/>
        </w:rPr>
        <w:t>方在</w:t>
      </w:r>
      <w:r>
        <w:rPr>
          <w:rFonts w:hint="eastAsia" w:ascii="仿宋_GB2312" w:hAnsi="仿宋" w:eastAsia="仿宋_GB2312" w:cs="Times New Roman"/>
          <w:b w:val="0"/>
          <w:bCs w:val="0"/>
          <w:color w:val="000000"/>
          <w:sz w:val="28"/>
          <w:szCs w:val="28"/>
          <w:u w:val="thick"/>
        </w:rPr>
        <w:t>天津市安定医院院长任中经济责任审计</w:t>
      </w:r>
      <w:r>
        <w:rPr>
          <w:rFonts w:hint="eastAsia" w:ascii="仿宋_GB2312" w:hAnsi="仿宋" w:eastAsia="仿宋_GB2312" w:cs="Times New Roman"/>
          <w:b w:val="0"/>
          <w:bCs w:val="0"/>
          <w:color w:val="000000"/>
          <w:sz w:val="32"/>
          <w:szCs w:val="32"/>
        </w:rPr>
        <w:t>（经济责任审计项目名称）项目审计中</w:t>
      </w:r>
      <w:r>
        <w:rPr>
          <w:rFonts w:hint="eastAsia" w:ascii="仿宋_GB2312" w:hAnsi="仿宋" w:eastAsia="仿宋_GB2312" w:cs="Times New Roman"/>
          <w:b w:val="0"/>
          <w:bCs w:val="0"/>
          <w:color w:val="000000"/>
          <w:sz w:val="32"/>
          <w:szCs w:val="32"/>
          <w:lang w:eastAsia="zh-CN"/>
        </w:rPr>
        <w:t>均应</w:t>
      </w:r>
      <w:r>
        <w:rPr>
          <w:rFonts w:hint="eastAsia" w:ascii="仿宋_GB2312" w:hAnsi="仿宋" w:eastAsia="仿宋_GB2312" w:cs="Times New Roman"/>
          <w:b w:val="0"/>
          <w:bCs w:val="0"/>
          <w:color w:val="000000"/>
          <w:sz w:val="32"/>
          <w:szCs w:val="32"/>
        </w:rPr>
        <w:t>严格遵守相关约定。</w:t>
      </w:r>
    </w:p>
    <w:p>
      <w:pPr>
        <w:ind w:firstLine="643" w:firstLineChars="200"/>
        <w:rPr>
          <w:rFonts w:ascii="仿宋_GB2312" w:hAnsi="仿宋" w:eastAsia="仿宋_GB2312" w:cs="Times New Roman"/>
          <w:b/>
          <w:color w:val="000000"/>
          <w:sz w:val="32"/>
          <w:szCs w:val="32"/>
        </w:rPr>
      </w:pPr>
      <w:r>
        <w:rPr>
          <w:rFonts w:hint="eastAsia" w:ascii="仿宋_GB2312" w:hAnsi="仿宋" w:eastAsia="仿宋_GB2312" w:cs="Times New Roman"/>
          <w:b/>
          <w:color w:val="000000"/>
          <w:sz w:val="32"/>
          <w:szCs w:val="32"/>
        </w:rPr>
        <w:t>一、关于审计报告结构和内容要求</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（一）审计报告结构应包括：</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1.基本情况。</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包括：单位情况、领导干部履职情况，审计范围和方法；</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2.总体评价。审计评价应客观公正、实事求是。</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3.审计结果。依据《党政主要领导干部和国有企事业单位主要领导人员经济责任审计规定》（中办发〔2019〕45号）第十八条规定的七项内容逐项描述。每项包括两方面，一是评价，二是发现的问题；</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4.审计建议。审计建议应与发现的问题相对应，具有建设性和操作性，切忌空讲原则，无具体操作内容。</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（二）审计内容。按《党政主要领导干部和国有企事业单位主要领导人员经济责任审计规定》（中办发〔2019〕45号）第十八条规定的内容逐项审计。</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中央八项规定的内容需在报告中单独列示。列示内容除“三公经费”外，还要在报告中对会议费、培训费支出</w:t>
      </w:r>
      <w:r>
        <w:rPr>
          <w:rFonts w:hint="eastAsia" w:ascii="仿宋_GB2312" w:hAnsi="仿宋" w:eastAsia="仿宋_GB2312" w:cs="Times New Roman"/>
          <w:color w:val="000000"/>
          <w:sz w:val="32"/>
          <w:szCs w:val="32"/>
          <w:lang w:eastAsia="zh-CN"/>
        </w:rPr>
        <w:t>及政府采购活动是否履法定程序等</w:t>
      </w:r>
      <w:r>
        <w:rPr>
          <w:rFonts w:hint="eastAsia" w:ascii="仿宋_GB2312" w:hAnsi="仿宋" w:eastAsia="仿宋_GB2312" w:cs="Times New Roman"/>
          <w:color w:val="000000"/>
          <w:sz w:val="32"/>
          <w:szCs w:val="32"/>
        </w:rPr>
        <w:t>情况进行单独表述；要对其预算执行情况及其合规性发表审计意见。</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除上述审计内容范围（空间）外，还应注明本次审计时间范围。</w:t>
      </w:r>
    </w:p>
    <w:p>
      <w:pPr>
        <w:ind w:firstLine="640" w:firstLineChars="200"/>
        <w:rPr>
          <w:rFonts w:ascii="仿宋_GB2312" w:hAnsi="仿宋" w:eastAsia="仿宋_GB2312" w:cs="Times New Roman"/>
          <w:b w:val="0"/>
          <w:bCs/>
          <w:color w:val="000000"/>
          <w:sz w:val="32"/>
          <w:szCs w:val="32"/>
        </w:rPr>
      </w:pPr>
      <w:r>
        <w:rPr>
          <w:rFonts w:hint="eastAsia" w:ascii="仿宋_GB2312" w:hAnsi="仿宋" w:eastAsia="仿宋_GB2312" w:cs="Times New Roman"/>
          <w:b w:val="0"/>
          <w:bCs/>
          <w:color w:val="000000"/>
          <w:sz w:val="32"/>
          <w:szCs w:val="32"/>
        </w:rPr>
        <w:t>审计报告要求内容简明扼要，文字精炼，结论准确，实施的审计程序描述要简明扼要，忌冗长。</w:t>
      </w:r>
    </w:p>
    <w:p>
      <w:pPr>
        <w:ind w:firstLine="643" w:firstLineChars="200"/>
        <w:rPr>
          <w:rFonts w:ascii="仿宋_GB2312" w:hAnsi="仿宋" w:eastAsia="仿宋_GB2312" w:cs="Times New Roman"/>
          <w:b/>
          <w:color w:val="000000"/>
          <w:sz w:val="32"/>
          <w:szCs w:val="32"/>
        </w:rPr>
      </w:pPr>
      <w:r>
        <w:rPr>
          <w:rFonts w:hint="eastAsia" w:ascii="仿宋_GB2312" w:hAnsi="仿宋" w:eastAsia="仿宋_GB2312" w:cs="Times New Roman"/>
          <w:b/>
          <w:color w:val="000000"/>
          <w:sz w:val="32"/>
          <w:szCs w:val="32"/>
        </w:rPr>
        <w:t>二、关于领导干部履职描述要求</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领导干部履职期间、职责分工、审计业务发生时点、审计范围等因素对审计评价非常重要，是决定职责的基础。在撰写报告时，应明确领导干部任、免职的准确时间及文件依据；职责分工的时间、范围及文件依据；业务发生时的准确时间（至发生时点）、事件、目前的结果，表述须清晰、客观、准确。一般应引用原始材料客观表述，禁用“以前年度”或“历史遗留”问题等模糊概念一带而过。</w:t>
      </w:r>
    </w:p>
    <w:p>
      <w:pPr>
        <w:ind w:firstLine="643" w:firstLineChars="200"/>
        <w:rPr>
          <w:rFonts w:ascii="仿宋_GB2312" w:hAnsi="仿宋" w:eastAsia="仿宋_GB2312" w:cs="Times New Roman"/>
          <w:b/>
          <w:color w:val="000000"/>
          <w:sz w:val="32"/>
          <w:szCs w:val="32"/>
        </w:rPr>
      </w:pPr>
      <w:r>
        <w:rPr>
          <w:rFonts w:hint="eastAsia" w:ascii="仿宋_GB2312" w:hAnsi="仿宋" w:eastAsia="仿宋_GB2312" w:cs="Times New Roman"/>
          <w:b/>
          <w:color w:val="000000"/>
          <w:sz w:val="32"/>
          <w:szCs w:val="32"/>
        </w:rPr>
        <w:t>三、具体审计内容要求</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1.上一次审计问题整改情况。</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对上一次审计问题的整改落实情况要逐一复审，逐一说明。</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2.关于货币资金审计。</w:t>
      </w:r>
    </w:p>
    <w:p>
      <w:pPr>
        <w:ind w:firstLine="640" w:firstLineChars="200"/>
        <w:rPr>
          <w:rFonts w:ascii="仿宋_GB2312" w:hAnsi="仿宋" w:eastAsia="仿宋_GB2312" w:cs="Times New Roman"/>
          <w:b w:val="0"/>
          <w:bCs w:val="0"/>
          <w:color w:val="000000"/>
          <w:sz w:val="32"/>
          <w:szCs w:val="32"/>
        </w:rPr>
      </w:pPr>
      <w:r>
        <w:rPr>
          <w:rFonts w:hint="eastAsia" w:ascii="仿宋_GB2312" w:hAnsi="仿宋" w:eastAsia="仿宋_GB2312" w:cs="Times New Roman"/>
          <w:color w:val="000000"/>
          <w:sz w:val="32"/>
          <w:szCs w:val="32"/>
        </w:rPr>
        <w:t>审计报告应提供所有银行账户审计的情况，</w:t>
      </w:r>
      <w:r>
        <w:rPr>
          <w:rFonts w:hint="eastAsia" w:ascii="仿宋_GB2312" w:hAnsi="仿宋" w:eastAsia="仿宋_GB2312" w:cs="Times New Roman"/>
          <w:color w:val="000000"/>
          <w:sz w:val="32"/>
          <w:szCs w:val="32"/>
          <w:lang w:eastAsia="zh-CN"/>
        </w:rPr>
        <w:t>应特别注意对货币资金的安全完整性进行审计。应</w:t>
      </w:r>
      <w:r>
        <w:rPr>
          <w:rFonts w:hint="eastAsia" w:ascii="仿宋_GB2312" w:hAnsi="仿宋" w:eastAsia="仿宋_GB2312" w:cs="Times New Roman"/>
          <w:color w:val="000000"/>
          <w:sz w:val="32"/>
          <w:szCs w:val="32"/>
        </w:rPr>
        <w:t>根据《天津市财政局关于进一步加强财政部门和预算单位资金存放管理的实施意见》（</w:t>
      </w:r>
      <w:r>
        <w:rPr>
          <w:rFonts w:ascii="仿宋_GB2312" w:hAnsi="仿宋" w:eastAsia="仿宋_GB2312" w:cs="Times New Roman"/>
          <w:color w:val="000000"/>
          <w:sz w:val="32"/>
          <w:szCs w:val="32"/>
        </w:rPr>
        <w:t>津财库〔2017〕113号</w:t>
      </w:r>
      <w:r>
        <w:rPr>
          <w:rFonts w:hint="eastAsia" w:ascii="仿宋_GB2312" w:hAnsi="仿宋" w:eastAsia="仿宋_GB2312" w:cs="Times New Roman"/>
          <w:color w:val="000000"/>
          <w:sz w:val="32"/>
          <w:szCs w:val="32"/>
        </w:rPr>
        <w:t>）要求，对银行账户资金存放管理情况进行审计，包括但不限于：</w:t>
      </w:r>
      <w:r>
        <w:rPr>
          <w:rFonts w:ascii="仿宋_GB2312" w:hAnsi="仿宋" w:eastAsia="仿宋_GB2312" w:cs="Times New Roman"/>
          <w:color w:val="000000"/>
          <w:sz w:val="32"/>
          <w:szCs w:val="32"/>
        </w:rPr>
        <w:fldChar w:fldCharType="begin"/>
      </w:r>
      <w:r>
        <w:rPr>
          <w:rFonts w:ascii="仿宋_GB2312" w:hAnsi="仿宋" w:eastAsia="仿宋_GB2312" w:cs="Times New Roman"/>
          <w:color w:val="000000"/>
          <w:sz w:val="32"/>
          <w:szCs w:val="32"/>
        </w:rPr>
        <w:instrText xml:space="preserve"> </w:instrText>
      </w:r>
      <w:r>
        <w:rPr>
          <w:rFonts w:hint="eastAsia" w:ascii="仿宋_GB2312" w:hAnsi="仿宋" w:eastAsia="仿宋_GB2312" w:cs="Times New Roman"/>
          <w:color w:val="000000"/>
          <w:sz w:val="32"/>
          <w:szCs w:val="32"/>
        </w:rPr>
        <w:instrText xml:space="preserve">= 1 \* GB3</w:instrText>
      </w:r>
      <w:r>
        <w:rPr>
          <w:rFonts w:ascii="仿宋_GB2312" w:hAnsi="仿宋" w:eastAsia="仿宋_GB2312" w:cs="Times New Roman"/>
          <w:color w:val="000000"/>
          <w:sz w:val="32"/>
          <w:szCs w:val="32"/>
        </w:rPr>
        <w:instrText xml:space="preserve"> </w:instrText>
      </w:r>
      <w:r>
        <w:rPr>
          <w:rFonts w:ascii="仿宋_GB2312" w:hAnsi="仿宋" w:eastAsia="仿宋_GB2312" w:cs="Times New Roman"/>
          <w:color w:val="000000"/>
          <w:sz w:val="32"/>
          <w:szCs w:val="32"/>
        </w:rPr>
        <w:fldChar w:fldCharType="separate"/>
      </w:r>
      <w:r>
        <w:rPr>
          <w:rFonts w:hint="eastAsia" w:ascii="仿宋_GB2312" w:hAnsi="仿宋" w:eastAsia="仿宋_GB2312" w:cs="Times New Roman"/>
          <w:color w:val="000000"/>
          <w:sz w:val="32"/>
          <w:szCs w:val="32"/>
        </w:rPr>
        <w:t>①</w:t>
      </w:r>
      <w:r>
        <w:rPr>
          <w:rFonts w:ascii="仿宋_GB2312" w:hAnsi="仿宋" w:eastAsia="仿宋_GB2312" w:cs="Times New Roman"/>
          <w:color w:val="000000"/>
          <w:sz w:val="32"/>
          <w:szCs w:val="32"/>
        </w:rPr>
        <w:fldChar w:fldCharType="end"/>
      </w:r>
      <w:r>
        <w:rPr>
          <w:rFonts w:hint="eastAsia" w:ascii="仿宋_GB2312" w:hAnsi="仿宋" w:eastAsia="仿宋_GB2312" w:cs="Times New Roman"/>
          <w:color w:val="000000"/>
          <w:sz w:val="32"/>
          <w:szCs w:val="32"/>
        </w:rPr>
        <w:t>账户开立是否符合上述规定，是否经过财政部门审核，资金存放是否经民主决策；</w:t>
      </w:r>
      <w:r>
        <w:rPr>
          <w:rFonts w:ascii="仿宋_GB2312" w:hAnsi="仿宋" w:eastAsia="仿宋_GB2312" w:cs="Times New Roman"/>
          <w:color w:val="000000"/>
          <w:sz w:val="32"/>
          <w:szCs w:val="32"/>
        </w:rPr>
        <w:fldChar w:fldCharType="begin"/>
      </w:r>
      <w:r>
        <w:rPr>
          <w:rFonts w:ascii="仿宋_GB2312" w:hAnsi="仿宋" w:eastAsia="仿宋_GB2312" w:cs="Times New Roman"/>
          <w:color w:val="000000"/>
          <w:sz w:val="32"/>
          <w:szCs w:val="32"/>
        </w:rPr>
        <w:instrText xml:space="preserve"> </w:instrText>
      </w:r>
      <w:r>
        <w:rPr>
          <w:rFonts w:hint="eastAsia" w:ascii="仿宋_GB2312" w:hAnsi="仿宋" w:eastAsia="仿宋_GB2312" w:cs="Times New Roman"/>
          <w:color w:val="000000"/>
          <w:sz w:val="32"/>
          <w:szCs w:val="32"/>
        </w:rPr>
        <w:instrText xml:space="preserve">= 2 \* GB3</w:instrText>
      </w:r>
      <w:r>
        <w:rPr>
          <w:rFonts w:ascii="仿宋_GB2312" w:hAnsi="仿宋" w:eastAsia="仿宋_GB2312" w:cs="Times New Roman"/>
          <w:color w:val="000000"/>
          <w:sz w:val="32"/>
          <w:szCs w:val="32"/>
        </w:rPr>
        <w:instrText xml:space="preserve"> </w:instrText>
      </w:r>
      <w:r>
        <w:rPr>
          <w:rFonts w:ascii="仿宋_GB2312" w:hAnsi="仿宋" w:eastAsia="仿宋_GB2312" w:cs="Times New Roman"/>
          <w:color w:val="000000"/>
          <w:sz w:val="32"/>
          <w:szCs w:val="32"/>
        </w:rPr>
        <w:fldChar w:fldCharType="separate"/>
      </w:r>
      <w:r>
        <w:rPr>
          <w:rFonts w:hint="eastAsia" w:ascii="仿宋_GB2312" w:hAnsi="仿宋" w:eastAsia="仿宋_GB2312" w:cs="Times New Roman"/>
          <w:color w:val="000000"/>
          <w:sz w:val="32"/>
          <w:szCs w:val="32"/>
        </w:rPr>
        <w:t>②</w:t>
      </w:r>
      <w:r>
        <w:rPr>
          <w:rFonts w:ascii="仿宋_GB2312" w:hAnsi="仿宋" w:eastAsia="仿宋_GB2312" w:cs="Times New Roman"/>
          <w:color w:val="000000"/>
          <w:sz w:val="32"/>
          <w:szCs w:val="32"/>
        </w:rPr>
        <w:fldChar w:fldCharType="end"/>
      </w:r>
      <w:r>
        <w:rPr>
          <w:rFonts w:hint="eastAsia" w:ascii="仿宋_GB2312" w:hAnsi="仿宋" w:eastAsia="仿宋_GB2312" w:cs="Times New Roman"/>
          <w:color w:val="000000"/>
          <w:sz w:val="32"/>
          <w:szCs w:val="32"/>
        </w:rPr>
        <w:t>所有银行账户是否均已纳入财务账套，统一核算管理；</w:t>
      </w:r>
      <w:r>
        <w:rPr>
          <w:rFonts w:ascii="仿宋_GB2312" w:hAnsi="仿宋" w:eastAsia="仿宋_GB2312" w:cs="Times New Roman"/>
          <w:color w:val="000000"/>
          <w:sz w:val="32"/>
          <w:szCs w:val="32"/>
        </w:rPr>
        <w:fldChar w:fldCharType="begin"/>
      </w:r>
      <w:r>
        <w:rPr>
          <w:rFonts w:ascii="仿宋_GB2312" w:hAnsi="仿宋" w:eastAsia="仿宋_GB2312" w:cs="Times New Roman"/>
          <w:color w:val="000000"/>
          <w:sz w:val="32"/>
          <w:szCs w:val="32"/>
        </w:rPr>
        <w:instrText xml:space="preserve"> </w:instrText>
      </w:r>
      <w:r>
        <w:rPr>
          <w:rFonts w:hint="eastAsia" w:ascii="仿宋_GB2312" w:hAnsi="仿宋" w:eastAsia="仿宋_GB2312" w:cs="Times New Roman"/>
          <w:color w:val="000000"/>
          <w:sz w:val="32"/>
          <w:szCs w:val="32"/>
        </w:rPr>
        <w:instrText xml:space="preserve">= 3 \* GB3</w:instrText>
      </w:r>
      <w:r>
        <w:rPr>
          <w:rFonts w:ascii="仿宋_GB2312" w:hAnsi="仿宋" w:eastAsia="仿宋_GB2312" w:cs="Times New Roman"/>
          <w:color w:val="000000"/>
          <w:sz w:val="32"/>
          <w:szCs w:val="32"/>
        </w:rPr>
        <w:instrText xml:space="preserve"> </w:instrText>
      </w:r>
      <w:r>
        <w:rPr>
          <w:rFonts w:ascii="仿宋_GB2312" w:hAnsi="仿宋" w:eastAsia="仿宋_GB2312" w:cs="Times New Roman"/>
          <w:color w:val="000000"/>
          <w:sz w:val="32"/>
          <w:szCs w:val="32"/>
        </w:rPr>
        <w:fldChar w:fldCharType="separate"/>
      </w:r>
      <w:r>
        <w:rPr>
          <w:rFonts w:hint="eastAsia" w:ascii="仿宋_GB2312" w:hAnsi="仿宋" w:eastAsia="仿宋_GB2312" w:cs="Times New Roman"/>
          <w:color w:val="000000"/>
          <w:sz w:val="32"/>
          <w:szCs w:val="32"/>
        </w:rPr>
        <w:t>③</w:t>
      </w:r>
      <w:r>
        <w:rPr>
          <w:rFonts w:ascii="仿宋_GB2312" w:hAnsi="仿宋" w:eastAsia="仿宋_GB2312" w:cs="Times New Roman"/>
          <w:color w:val="000000"/>
          <w:sz w:val="32"/>
          <w:szCs w:val="32"/>
        </w:rPr>
        <w:fldChar w:fldCharType="end"/>
      </w:r>
      <w:r>
        <w:rPr>
          <w:rFonts w:hint="eastAsia" w:ascii="仿宋_GB2312" w:hAnsi="仿宋" w:eastAsia="仿宋_GB2312" w:cs="Times New Roman"/>
          <w:color w:val="000000"/>
          <w:sz w:val="32"/>
          <w:szCs w:val="32"/>
        </w:rPr>
        <w:t>银行账户对账单的审计情况，银行存款余额调节表审计情况，银行存款函证，对未达账项的审计情况，对长期未达账项应予以充分关注；</w:t>
      </w:r>
      <w:r>
        <w:rPr>
          <w:rFonts w:ascii="仿宋_GB2312" w:hAnsi="仿宋" w:eastAsia="仿宋_GB2312" w:cs="Times New Roman"/>
          <w:color w:val="000000"/>
          <w:sz w:val="32"/>
          <w:szCs w:val="32"/>
        </w:rPr>
        <w:fldChar w:fldCharType="begin"/>
      </w:r>
      <w:r>
        <w:rPr>
          <w:rFonts w:ascii="仿宋_GB2312" w:hAnsi="仿宋" w:eastAsia="仿宋_GB2312" w:cs="Times New Roman"/>
          <w:color w:val="000000"/>
          <w:sz w:val="32"/>
          <w:szCs w:val="32"/>
        </w:rPr>
        <w:instrText xml:space="preserve"> </w:instrText>
      </w:r>
      <w:r>
        <w:rPr>
          <w:rFonts w:hint="eastAsia" w:ascii="仿宋_GB2312" w:hAnsi="仿宋" w:eastAsia="仿宋_GB2312" w:cs="Times New Roman"/>
          <w:color w:val="000000"/>
          <w:sz w:val="32"/>
          <w:szCs w:val="32"/>
        </w:rPr>
        <w:instrText xml:space="preserve">= 4 \* GB3</w:instrText>
      </w:r>
      <w:r>
        <w:rPr>
          <w:rFonts w:ascii="仿宋_GB2312" w:hAnsi="仿宋" w:eastAsia="仿宋_GB2312" w:cs="Times New Roman"/>
          <w:color w:val="000000"/>
          <w:sz w:val="32"/>
          <w:szCs w:val="32"/>
        </w:rPr>
        <w:instrText xml:space="preserve"> </w:instrText>
      </w:r>
      <w:r>
        <w:rPr>
          <w:rFonts w:ascii="仿宋_GB2312" w:hAnsi="仿宋" w:eastAsia="仿宋_GB2312" w:cs="Times New Roman"/>
          <w:color w:val="000000"/>
          <w:sz w:val="32"/>
          <w:szCs w:val="32"/>
        </w:rPr>
        <w:fldChar w:fldCharType="separate"/>
      </w:r>
      <w:r>
        <w:rPr>
          <w:rFonts w:hint="eastAsia" w:ascii="仿宋_GB2312" w:hAnsi="仿宋" w:eastAsia="仿宋_GB2312" w:cs="Times New Roman"/>
          <w:color w:val="000000"/>
          <w:sz w:val="32"/>
          <w:szCs w:val="32"/>
        </w:rPr>
        <w:t>④</w:t>
      </w:r>
      <w:r>
        <w:rPr>
          <w:rFonts w:ascii="仿宋_GB2312" w:hAnsi="仿宋" w:eastAsia="仿宋_GB2312" w:cs="Times New Roman"/>
          <w:color w:val="000000"/>
          <w:sz w:val="32"/>
          <w:szCs w:val="32"/>
        </w:rPr>
        <w:fldChar w:fldCharType="end"/>
      </w:r>
      <w:r>
        <w:rPr>
          <w:rFonts w:hint="eastAsia" w:ascii="仿宋_GB2312" w:hAnsi="仿宋" w:eastAsia="仿宋_GB2312" w:cs="Times New Roman"/>
          <w:color w:val="000000"/>
          <w:sz w:val="32"/>
          <w:szCs w:val="32"/>
        </w:rPr>
        <w:t>现金监盘，账实、账表一致性审核；审核推算报表截止日的现金、银行存款及其他货币资金一致性；</w:t>
      </w:r>
      <w:r>
        <w:rPr>
          <w:rFonts w:ascii="仿宋_GB2312" w:hAnsi="仿宋" w:eastAsia="仿宋_GB2312" w:cs="Times New Roman"/>
          <w:color w:val="000000"/>
          <w:sz w:val="32"/>
          <w:szCs w:val="32"/>
        </w:rPr>
        <w:fldChar w:fldCharType="begin"/>
      </w:r>
      <w:r>
        <w:rPr>
          <w:rFonts w:ascii="仿宋_GB2312" w:hAnsi="仿宋" w:eastAsia="仿宋_GB2312" w:cs="Times New Roman"/>
          <w:color w:val="000000"/>
          <w:sz w:val="32"/>
          <w:szCs w:val="32"/>
        </w:rPr>
        <w:instrText xml:space="preserve"> </w:instrText>
      </w:r>
      <w:r>
        <w:rPr>
          <w:rFonts w:hint="eastAsia" w:ascii="仿宋_GB2312" w:hAnsi="仿宋" w:eastAsia="仿宋_GB2312" w:cs="Times New Roman"/>
          <w:color w:val="000000"/>
          <w:sz w:val="32"/>
          <w:szCs w:val="32"/>
        </w:rPr>
        <w:instrText xml:space="preserve">= 5 \* GB3</w:instrText>
      </w:r>
      <w:r>
        <w:rPr>
          <w:rFonts w:ascii="仿宋_GB2312" w:hAnsi="仿宋" w:eastAsia="仿宋_GB2312" w:cs="Times New Roman"/>
          <w:color w:val="000000"/>
          <w:sz w:val="32"/>
          <w:szCs w:val="32"/>
        </w:rPr>
        <w:instrText xml:space="preserve"> </w:instrText>
      </w:r>
      <w:r>
        <w:rPr>
          <w:rFonts w:ascii="仿宋_GB2312" w:hAnsi="仿宋" w:eastAsia="仿宋_GB2312" w:cs="Times New Roman"/>
          <w:color w:val="000000"/>
          <w:sz w:val="32"/>
          <w:szCs w:val="32"/>
        </w:rPr>
        <w:fldChar w:fldCharType="separate"/>
      </w:r>
      <w:r>
        <w:rPr>
          <w:rFonts w:hint="eastAsia" w:ascii="仿宋_GB2312" w:hAnsi="仿宋" w:eastAsia="仿宋_GB2312" w:cs="Times New Roman"/>
          <w:color w:val="000000"/>
          <w:sz w:val="32"/>
          <w:szCs w:val="32"/>
        </w:rPr>
        <w:t>⑤</w:t>
      </w:r>
      <w:r>
        <w:rPr>
          <w:rFonts w:ascii="仿宋_GB2312" w:hAnsi="仿宋" w:eastAsia="仿宋_GB2312" w:cs="Times New Roman"/>
          <w:color w:val="000000"/>
          <w:sz w:val="32"/>
          <w:szCs w:val="32"/>
        </w:rPr>
        <w:fldChar w:fldCharType="end"/>
      </w:r>
      <w:r>
        <w:rPr>
          <w:rFonts w:hint="eastAsia" w:ascii="仿宋_GB2312" w:hAnsi="仿宋" w:eastAsia="仿宋_GB2312" w:cs="Times New Roman"/>
          <w:color w:val="000000"/>
          <w:sz w:val="32"/>
          <w:szCs w:val="32"/>
        </w:rPr>
        <w:t>是否存在僵尸账户</w:t>
      </w:r>
      <w:r>
        <w:rPr>
          <w:rFonts w:hint="eastAsia" w:ascii="仿宋_GB2312" w:hAnsi="仿宋" w:eastAsia="仿宋_GB2312" w:cs="Times New Roman"/>
          <w:b w:val="0"/>
          <w:bCs w:val="0"/>
          <w:color w:val="000000"/>
          <w:sz w:val="32"/>
          <w:szCs w:val="32"/>
        </w:rPr>
        <w:t>问题；大额资金支出是否已履行“三重一大”；</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其他货币资金的审计，包括但不限于：实质性长期、短期投资，大额存单、定期存单、银行理财等，如存在，应审核其是否履行了相关“三重一大”的集体决策程序。</w:t>
      </w:r>
    </w:p>
    <w:p>
      <w:pPr>
        <w:ind w:firstLine="640" w:firstLineChars="200"/>
        <w:rPr>
          <w:rFonts w:ascii="仿宋_GB2312" w:hAnsi="仿宋" w:eastAsia="仿宋_GB2312" w:cs="Times New Roman"/>
          <w:color w:val="000000"/>
          <w:sz w:val="32"/>
          <w:szCs w:val="32"/>
        </w:rPr>
      </w:pPr>
      <w:r>
        <w:rPr>
          <w:rFonts w:ascii="仿宋_GB2312" w:hAnsi="仿宋" w:eastAsia="仿宋_GB2312" w:cs="Times New Roman"/>
          <w:color w:val="000000"/>
          <w:sz w:val="32"/>
          <w:szCs w:val="32"/>
        </w:rPr>
        <w:t>3.</w:t>
      </w:r>
      <w:r>
        <w:rPr>
          <w:rFonts w:hint="eastAsia" w:ascii="仿宋_GB2312" w:hAnsi="仿宋" w:eastAsia="仿宋_GB2312" w:cs="Times New Roman"/>
          <w:color w:val="000000"/>
          <w:sz w:val="32"/>
          <w:szCs w:val="32"/>
        </w:rPr>
        <w:t>对列入“其他应收款、预付账款”的往来款应充分关注，重点审查真实性、合法性；对长期未处理事项应予充分关注并在报告中说明。（通过国家企业信用信息公示系统、天津市市场主体信用公示系统等查询大额往来单位情况，截屏保</w:t>
      </w:r>
      <w:r>
        <w:rPr>
          <w:rFonts w:hint="eastAsia" w:ascii="仿宋_GB2312" w:hAnsi="仿宋" w:eastAsia="仿宋_GB2312" w:cs="Times New Roman"/>
          <w:color w:val="000000"/>
          <w:sz w:val="32"/>
          <w:szCs w:val="32"/>
          <w:lang w:eastAsia="zh-CN"/>
        </w:rPr>
        <w:t>存并</w:t>
      </w:r>
      <w:r>
        <w:rPr>
          <w:rFonts w:hint="eastAsia" w:ascii="仿宋_GB2312" w:hAnsi="仿宋" w:eastAsia="仿宋_GB2312" w:cs="Times New Roman"/>
          <w:color w:val="000000"/>
          <w:sz w:val="32"/>
          <w:szCs w:val="32"/>
        </w:rPr>
        <w:t>提交相关证据）</w:t>
      </w:r>
    </w:p>
    <w:p>
      <w:pPr>
        <w:ind w:firstLine="640" w:firstLineChars="200"/>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4.财务与业务系统数据一致性审计，对涉及收费系统的内部控制制度建设、运行情况应当予以充分关注，并在审计报告中充分披露；审计内容包括但不限于应收医疗款、预收医疗款等类似业务类科目。审计报告应对上述内容发表意见并承担责任。</w:t>
      </w:r>
    </w:p>
    <w:p>
      <w:pPr>
        <w:ind w:firstLine="640" w:firstLineChars="200"/>
        <w:rPr>
          <w:rFonts w:hint="eastAsia" w:ascii="仿宋_GB2312" w:hAnsi="仿宋" w:eastAsia="仿宋_GB2312" w:cs="Times New Roman"/>
          <w:b w:val="0"/>
          <w:bCs w:val="0"/>
          <w:color w:val="000000"/>
          <w:sz w:val="32"/>
          <w:szCs w:val="32"/>
        </w:rPr>
      </w:pPr>
      <w:r>
        <w:rPr>
          <w:rFonts w:hint="eastAsia" w:ascii="仿宋_GB2312" w:hAnsi="仿宋" w:eastAsia="仿宋_GB2312" w:cs="Times New Roman"/>
          <w:color w:val="000000"/>
          <w:sz w:val="32"/>
          <w:szCs w:val="32"/>
        </w:rPr>
        <w:t>5.对内部控制制度的审核包括制度建设情况和执行情况；</w:t>
      </w:r>
      <w:r>
        <w:rPr>
          <w:rFonts w:hint="eastAsia" w:ascii="仿宋_GB2312" w:hAnsi="仿宋" w:eastAsia="仿宋_GB2312" w:cs="Times New Roman"/>
          <w:b w:val="0"/>
          <w:bCs w:val="0"/>
          <w:color w:val="000000"/>
          <w:sz w:val="32"/>
          <w:szCs w:val="32"/>
        </w:rPr>
        <w:t>三重一大审计结果应在报告中进行独立列示</w:t>
      </w:r>
      <w:r>
        <w:rPr>
          <w:rFonts w:hint="eastAsia" w:ascii="仿宋_GB2312" w:hAnsi="仿宋" w:eastAsia="仿宋_GB2312" w:cs="Times New Roman"/>
          <w:b w:val="0"/>
          <w:bCs w:val="0"/>
          <w:color w:val="000000"/>
          <w:sz w:val="32"/>
          <w:szCs w:val="32"/>
          <w:lang w:eastAsia="zh-CN"/>
        </w:rPr>
        <w:t>（政采活动是否履行了法定程序）</w:t>
      </w:r>
      <w:r>
        <w:rPr>
          <w:rFonts w:hint="eastAsia" w:ascii="仿宋_GB2312" w:hAnsi="仿宋" w:eastAsia="仿宋_GB2312" w:cs="Times New Roman"/>
          <w:b w:val="0"/>
          <w:bCs w:val="0"/>
          <w:color w:val="000000"/>
          <w:sz w:val="32"/>
          <w:szCs w:val="32"/>
        </w:rPr>
        <w:t>。</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6.对担保、抵押、或有事项及重大诉讼等审计并单独披露。（应通过中国人民银行征信中心查询证实，提交书面信用报告，不得以承诺函替代）</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7.对内部控制薄弱环节应予以关注并披露；特别关注所有非财务部门直接收款的行为，并在审计报告中予以充分披露，揭示风险。</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8.对审计期间天津市安定医院的财务状况和运营情况进行详细分析，通过审计分析、判断的结果应与经过审计财务报表等作为审计报告附件一并提供，财务报表应至少包括资产负债表、收支总表，经过审计的债权债务明细表等。</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9.其他审计要求。</w:t>
      </w:r>
    </w:p>
    <w:p>
      <w:pPr>
        <w:ind w:firstLine="643" w:firstLineChars="200"/>
        <w:rPr>
          <w:rFonts w:ascii="仿宋_GB2312" w:hAnsi="仿宋" w:eastAsia="仿宋_GB2312" w:cs="Times New Roman"/>
          <w:b/>
          <w:color w:val="000000"/>
          <w:sz w:val="32"/>
          <w:szCs w:val="32"/>
        </w:rPr>
      </w:pPr>
      <w:r>
        <w:rPr>
          <w:rFonts w:hint="eastAsia" w:ascii="仿宋_GB2312" w:hAnsi="仿宋" w:eastAsia="仿宋_GB2312" w:cs="Times New Roman"/>
          <w:b/>
          <w:color w:val="000000"/>
          <w:sz w:val="32"/>
          <w:szCs w:val="32"/>
        </w:rPr>
        <w:t>四、提交资料要求</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1.提交会计师事务所的营业执照复印件（加盖公章）。</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2.提交业务约定书（原件）和本补充业务约定书（原件）。</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业务约定书包括但不限于如下内容：明确本次审计任务的开始时间，审计完成时间，正式出具审计报告并报财务审计处时间，明确违约责任，审计风险责任约定；</w:t>
      </w:r>
      <w:r>
        <w:rPr>
          <w:rFonts w:ascii="仿宋_GB2312" w:hAnsi="仿宋" w:eastAsia="仿宋_GB2312" w:cs="Times New Roman"/>
          <w:color w:val="000000"/>
          <w:sz w:val="32"/>
          <w:szCs w:val="32"/>
        </w:rPr>
        <w:t xml:space="preserve"> </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3.审计中介机构人员资质要求。</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业务约定书应明确现场审计人员中应至少委派一名具有注册会计师资格的项目负责人。</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提交项目负责人的注册会计师执业资格证书。“注册会计师执业资格证书”应加盖会计师事务所公章，同时注明项目名称，注册会计师本人签字；</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如有人员调整，还应将调整人员情况一并报送，同时注明各自应负责审计内容）。</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4.提交审计实施方案（或计划），实施方案或计划应有项目负责人签字，应有会计师事务所盖章；如有调整，调整方案应与出具审计报告时一并报送；</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5.审计保密承诺书。保密承诺书应包括所有参与项目实施人员的签字并加盖事务所公章。</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6.被审计单位对审计报告（征求意见稿）的书面意见，离任审计还应包括“被审计领导干部对审计报告（征求意见稿）的书面意见”。</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7.会计师事务所应向财务审计处报送经济责任审计报告一式6份；审计报告电子版一并报送，审计报告审核过程稿的电子版传输应加密；</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8．会计师事务所应报送下列审计事项审计证据和审计工作底稿，解释质疑。</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（1）提交银行存款等其他货币资金的审计底稿和审计证据材料，包括提交书面信用报告，对长期未达账款进行审计并提交书面核实证据和底稿；</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（2）提交对担保、抵押、或有事项及重大诉讼等等情况的审计底稿和审计证据材料，包括“信用报告”；</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（3）“三重一大”（经济事项）的审计底稿及审计证据资料；</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（4）其他审计事项审计底稿及证据。</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9.上述材料应与正式审计报告一并提交，信用报告、市场主体信用公示的情况应在审计报告审核阶段提供。</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五、补充违约责任</w:t>
      </w:r>
    </w:p>
    <w:p>
      <w:pPr>
        <w:ind w:firstLine="640" w:firstLineChars="200"/>
        <w:rPr>
          <w:rFonts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会计师事务所独立承担审计责任。对出具不实报告、存在严重遗漏事项审计报告的会计师事务所，我委将依法追责并列入黑名单；对严重违反职业道德和执业规范行为，我委将依法向主管部门进行投诉。</w:t>
      </w:r>
    </w:p>
    <w:p>
      <w:pPr>
        <w:ind w:firstLine="560" w:firstLineChars="200"/>
        <w:rPr>
          <w:rFonts w:ascii="仿宋_GB2312" w:hAnsi="仿宋" w:eastAsia="仿宋_GB2312" w:cs="Times New Roman"/>
          <w:color w:val="000000"/>
          <w:sz w:val="28"/>
          <w:szCs w:val="28"/>
        </w:rPr>
      </w:pPr>
    </w:p>
    <w:p>
      <w:pPr>
        <w:ind w:firstLine="560" w:firstLineChars="200"/>
        <w:rPr>
          <w:rFonts w:ascii="仿宋_GB2312" w:hAnsi="仿宋" w:eastAsia="仿宋_GB2312" w:cs="Times New Roman"/>
          <w:color w:val="000000"/>
          <w:sz w:val="28"/>
          <w:szCs w:val="28"/>
        </w:rPr>
      </w:pPr>
    </w:p>
    <w:p>
      <w:pPr>
        <w:ind w:firstLine="560" w:firstLineChars="200"/>
        <w:rPr>
          <w:rFonts w:ascii="仿宋_GB2312" w:hAnsi="仿宋" w:eastAsia="仿宋_GB2312" w:cs="Times New Roman"/>
          <w:color w:val="000000"/>
          <w:sz w:val="28"/>
          <w:szCs w:val="28"/>
        </w:rPr>
      </w:pPr>
    </w:p>
    <w:p>
      <w:pPr>
        <w:ind w:firstLine="560" w:firstLineChars="200"/>
        <w:rPr>
          <w:rFonts w:ascii="仿宋_GB2312" w:hAnsi="仿宋" w:eastAsia="仿宋_GB2312" w:cs="Times New Roman"/>
          <w:color w:val="000000"/>
          <w:sz w:val="28"/>
          <w:szCs w:val="28"/>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pPr>
              <w:ind w:firstLine="200"/>
              <w:jc w:val="center"/>
              <w:rPr>
                <w:rFonts w:hint="eastAsia" w:ascii="仿宋_GB2312" w:hAnsi="仿宋" w:eastAsia="仿宋_GB2312" w:cs="Times New Roman"/>
                <w:color w:val="000000"/>
                <w:sz w:val="28"/>
                <w:szCs w:val="28"/>
                <w:lang w:val="en-US" w:eastAsia="zh-CN"/>
              </w:rPr>
            </w:pPr>
            <w:r>
              <w:rPr>
                <w:rFonts w:hint="eastAsia" w:ascii="仿宋_GB2312" w:hAnsi="仿宋" w:eastAsia="仿宋_GB2312" w:cs="Times New Roman"/>
                <w:color w:val="000000"/>
                <w:sz w:val="28"/>
                <w:szCs w:val="28"/>
                <w:lang w:val="en-US" w:eastAsia="zh-CN"/>
              </w:rPr>
              <w:t>（此页无正文）</w:t>
            </w:r>
          </w:p>
        </w:tc>
        <w:tc>
          <w:tcPr>
            <w:tcW w:w="4261" w:type="dxa"/>
            <w:vMerge w:val="restart"/>
            <w:vAlign w:val="center"/>
          </w:tcPr>
          <w:p>
            <w:pPr>
              <w:jc w:val="center"/>
              <w:rPr>
                <w:rFonts w:ascii="仿宋_GB2312" w:hAnsi="仿宋" w:eastAsia="仿宋_GB2312" w:cs="Times New Roman"/>
                <w:b/>
                <w:color w:val="000000"/>
                <w:sz w:val="28"/>
                <w:szCs w:val="28"/>
              </w:rPr>
            </w:pPr>
          </w:p>
          <w:p>
            <w:pPr>
              <w:jc w:val="center"/>
              <w:rPr>
                <w:rFonts w:hint="eastAsia" w:ascii="仿宋_GB2312" w:hAnsi="仿宋" w:eastAsia="仿宋_GB2312" w:cs="Times New Roman"/>
                <w:b w:val="0"/>
                <w:bCs/>
                <w:color w:val="000000"/>
                <w:sz w:val="28"/>
                <w:szCs w:val="28"/>
                <w:lang w:eastAsia="zh-CN"/>
              </w:rPr>
            </w:pPr>
            <w:r>
              <w:rPr>
                <w:rFonts w:hint="eastAsia" w:ascii="仿宋_GB2312" w:hAnsi="仿宋" w:eastAsia="仿宋_GB2312" w:cs="Times New Roman"/>
                <w:b w:val="0"/>
                <w:bCs/>
                <w:color w:val="000000"/>
                <w:sz w:val="28"/>
                <w:szCs w:val="28"/>
                <w:lang w:eastAsia="zh-CN"/>
              </w:rPr>
              <w:t>天津市卫生健康委员会</w:t>
            </w:r>
          </w:p>
          <w:p>
            <w:pPr>
              <w:jc w:val="center"/>
              <w:rPr>
                <w:rFonts w:hint="eastAsia" w:ascii="仿宋" w:hAnsi="仿宋" w:eastAsia="仿宋"/>
                <w:sz w:val="32"/>
                <w:szCs w:val="32"/>
              </w:rPr>
            </w:pPr>
          </w:p>
          <w:p>
            <w:pPr>
              <w:jc w:val="center"/>
              <w:rPr>
                <w:rFonts w:ascii="仿宋_GB2312" w:hAnsi="仿宋" w:eastAsia="仿宋_GB2312" w:cs="Times New Roman"/>
                <w:b/>
                <w:color w:val="000000"/>
                <w:sz w:val="28"/>
                <w:szCs w:val="28"/>
              </w:rPr>
            </w:pPr>
            <w:r>
              <w:rPr>
                <w:rFonts w:hint="eastAsia" w:ascii="仿宋" w:hAnsi="仿宋" w:eastAsia="仿宋"/>
                <w:sz w:val="32"/>
                <w:szCs w:val="32"/>
              </w:rPr>
              <w:t>天津市安定医院</w:t>
            </w:r>
          </w:p>
          <w:p>
            <w:pPr>
              <w:jc w:val="center"/>
              <w:rPr>
                <w:rFonts w:hint="eastAsia" w:ascii="仿宋_GB2312" w:hAnsi="仿宋" w:eastAsia="仿宋_GB2312" w:cs="Times New Roman"/>
                <w:color w:val="000000"/>
                <w:sz w:val="28"/>
                <w:szCs w:val="28"/>
              </w:rPr>
            </w:pPr>
          </w:p>
          <w:p>
            <w:pPr>
              <w:jc w:val="center"/>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日期：</w:t>
            </w:r>
            <w:r>
              <w:rPr>
                <w:rFonts w:ascii="仿宋_GB2312" w:hAnsi="仿宋" w:eastAsia="仿宋_GB2312" w:cs="Times New Roman"/>
                <w:color w:val="000000"/>
                <w:sz w:val="28"/>
                <w:szCs w:val="28"/>
              </w:rPr>
              <w:t>20</w:t>
            </w:r>
            <w:r>
              <w:rPr>
                <w:rFonts w:hint="eastAsia" w:ascii="仿宋_GB2312" w:hAnsi="仿宋" w:eastAsia="仿宋_GB2312" w:cs="Times New Roman"/>
                <w:color w:val="000000"/>
                <w:sz w:val="28"/>
                <w:szCs w:val="28"/>
              </w:rPr>
              <w:t>2</w:t>
            </w:r>
            <w:r>
              <w:rPr>
                <w:rFonts w:hint="eastAsia" w:ascii="仿宋_GB2312" w:hAnsi="仿宋" w:eastAsia="仿宋_GB2312" w:cs="Times New Roman"/>
                <w:color w:val="000000"/>
                <w:sz w:val="28"/>
                <w:szCs w:val="28"/>
                <w:lang w:val="en-US" w:eastAsia="zh-CN"/>
              </w:rPr>
              <w:t>1</w:t>
            </w:r>
            <w:r>
              <w:rPr>
                <w:rFonts w:ascii="仿宋_GB2312" w:hAnsi="仿宋" w:eastAsia="仿宋_GB2312" w:cs="Times New Roman"/>
                <w:color w:val="000000"/>
                <w:sz w:val="28"/>
                <w:szCs w:val="28"/>
              </w:rPr>
              <w:t>年</w:t>
            </w:r>
            <w:r>
              <w:rPr>
                <w:rFonts w:hint="eastAsia" w:ascii="仿宋_GB2312" w:hAnsi="仿宋" w:eastAsia="仿宋_GB2312" w:cs="Times New Roman"/>
                <w:color w:val="000000"/>
                <w:sz w:val="28"/>
                <w:szCs w:val="28"/>
              </w:rPr>
              <w:t xml:space="preserve"> </w:t>
            </w:r>
            <w:r>
              <w:rPr>
                <w:rFonts w:ascii="仿宋_GB2312" w:hAnsi="仿宋" w:eastAsia="仿宋_GB2312" w:cs="Times New Roman"/>
                <w:color w:val="000000"/>
                <w:sz w:val="28"/>
                <w:szCs w:val="28"/>
              </w:rPr>
              <w:t>月</w:t>
            </w:r>
            <w:r>
              <w:rPr>
                <w:rFonts w:hint="eastAsia" w:ascii="仿宋_GB2312" w:hAnsi="仿宋" w:eastAsia="仿宋_GB2312" w:cs="Times New Roman"/>
                <w:color w:val="000000"/>
                <w:sz w:val="28"/>
                <w:szCs w:val="28"/>
              </w:rPr>
              <w:t xml:space="preserve">  </w:t>
            </w:r>
            <w:r>
              <w:rPr>
                <w:rFonts w:ascii="仿宋_GB2312" w:hAnsi="仿宋" w:eastAsia="仿宋_GB2312" w:cs="Times New Roman"/>
                <w:color w:val="000000"/>
                <w:sz w:val="28"/>
                <w:szCs w:val="28"/>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pPr>
              <w:ind w:firstLine="200"/>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会计师事务所法人：</w:t>
            </w:r>
            <w:bookmarkStart w:id="0" w:name="_GoBack"/>
            <w:bookmarkEnd w:id="0"/>
          </w:p>
          <w:p>
            <w:pPr>
              <w:ind w:firstLine="200"/>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（签字、盖章）</w:t>
            </w:r>
          </w:p>
          <w:p>
            <w:pPr>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项目负责人签字：</w:t>
            </w:r>
          </w:p>
          <w:p>
            <w:pPr>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项目负责人签字：</w:t>
            </w:r>
          </w:p>
        </w:tc>
        <w:tc>
          <w:tcPr>
            <w:tcW w:w="4261" w:type="dxa"/>
            <w:vMerge w:val="continue"/>
          </w:tcPr>
          <w:p>
            <w:pPr>
              <w:rPr>
                <w:rFonts w:ascii="仿宋_GB2312" w:hAnsi="仿宋" w:eastAsia="仿宋_GB2312" w:cs="Times New Roman"/>
                <w:color w:val="00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pPr>
              <w:ind w:firstLine="200"/>
              <w:rPr>
                <w:rFonts w:ascii="仿宋_GB2312" w:hAnsi="仿宋" w:eastAsia="仿宋_GB2312" w:cs="Times New Roman"/>
                <w:color w:val="000000"/>
                <w:sz w:val="28"/>
                <w:szCs w:val="28"/>
              </w:rPr>
            </w:pPr>
            <w:r>
              <w:rPr>
                <w:rFonts w:hint="eastAsia" w:ascii="仿宋_GB2312" w:hAnsi="仿宋" w:eastAsia="仿宋_GB2312" w:cs="Times New Roman"/>
                <w:color w:val="000000"/>
                <w:sz w:val="28"/>
                <w:szCs w:val="28"/>
              </w:rPr>
              <w:t>日期：202</w:t>
            </w:r>
            <w:r>
              <w:rPr>
                <w:rFonts w:hint="eastAsia" w:ascii="仿宋_GB2312" w:hAnsi="仿宋" w:eastAsia="仿宋_GB2312" w:cs="Times New Roman"/>
                <w:color w:val="000000"/>
                <w:sz w:val="28"/>
                <w:szCs w:val="28"/>
                <w:lang w:val="en-US" w:eastAsia="zh-CN"/>
              </w:rPr>
              <w:t>1</w:t>
            </w:r>
            <w:r>
              <w:rPr>
                <w:rFonts w:hint="eastAsia" w:ascii="仿宋_GB2312" w:hAnsi="仿宋" w:eastAsia="仿宋_GB2312" w:cs="Times New Roman"/>
                <w:color w:val="000000"/>
                <w:sz w:val="28"/>
                <w:szCs w:val="28"/>
              </w:rPr>
              <w:t>年  月  日</w:t>
            </w:r>
          </w:p>
        </w:tc>
        <w:tc>
          <w:tcPr>
            <w:tcW w:w="4261" w:type="dxa"/>
            <w:vMerge w:val="continue"/>
          </w:tcPr>
          <w:p>
            <w:pPr>
              <w:jc w:val="center"/>
              <w:rPr>
                <w:rFonts w:ascii="仿宋_GB2312" w:hAnsi="仿宋" w:eastAsia="仿宋_GB2312" w:cs="Times New Roman"/>
                <w:color w:val="000000"/>
                <w:sz w:val="28"/>
                <w:szCs w:val="28"/>
              </w:rPr>
            </w:pPr>
          </w:p>
        </w:tc>
      </w:tr>
    </w:tbl>
    <w:p>
      <w:pPr>
        <w:ind w:firstLine="560" w:firstLineChars="200"/>
        <w:rPr>
          <w:rFonts w:asciiTheme="majorEastAsia" w:hAnsiTheme="majorEastAsia" w:eastAsiaTheme="major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标宋">
    <w:altName w:val="微软雅黑"/>
    <w:panose1 w:val="00000000000000000000"/>
    <w:charset w:val="86"/>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507413"/>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598"/>
    <w:rsid w:val="00005C04"/>
    <w:rsid w:val="00020524"/>
    <w:rsid w:val="00043CE4"/>
    <w:rsid w:val="00087469"/>
    <w:rsid w:val="000C0BDA"/>
    <w:rsid w:val="000C0EAD"/>
    <w:rsid w:val="000E1C09"/>
    <w:rsid w:val="001202E8"/>
    <w:rsid w:val="00132772"/>
    <w:rsid w:val="0015716B"/>
    <w:rsid w:val="0019240D"/>
    <w:rsid w:val="0020330C"/>
    <w:rsid w:val="0021453D"/>
    <w:rsid w:val="0023497F"/>
    <w:rsid w:val="00274E6B"/>
    <w:rsid w:val="00296EA5"/>
    <w:rsid w:val="002A10B1"/>
    <w:rsid w:val="002B4492"/>
    <w:rsid w:val="0036153F"/>
    <w:rsid w:val="0036662D"/>
    <w:rsid w:val="0037786A"/>
    <w:rsid w:val="0038360D"/>
    <w:rsid w:val="003836F0"/>
    <w:rsid w:val="003B225D"/>
    <w:rsid w:val="003C333F"/>
    <w:rsid w:val="0042568B"/>
    <w:rsid w:val="004529AF"/>
    <w:rsid w:val="00472581"/>
    <w:rsid w:val="004B3331"/>
    <w:rsid w:val="004B3907"/>
    <w:rsid w:val="004C3FFA"/>
    <w:rsid w:val="004C62F2"/>
    <w:rsid w:val="004E47B2"/>
    <w:rsid w:val="00510C22"/>
    <w:rsid w:val="005177CD"/>
    <w:rsid w:val="005278C0"/>
    <w:rsid w:val="00536894"/>
    <w:rsid w:val="00563800"/>
    <w:rsid w:val="005909BF"/>
    <w:rsid w:val="005919BB"/>
    <w:rsid w:val="0059732E"/>
    <w:rsid w:val="005A5F3E"/>
    <w:rsid w:val="005A7645"/>
    <w:rsid w:val="005B6416"/>
    <w:rsid w:val="005D54FF"/>
    <w:rsid w:val="005D6598"/>
    <w:rsid w:val="00610A14"/>
    <w:rsid w:val="00645D3F"/>
    <w:rsid w:val="00651ED4"/>
    <w:rsid w:val="0069267E"/>
    <w:rsid w:val="006A6085"/>
    <w:rsid w:val="00710DF6"/>
    <w:rsid w:val="00711D64"/>
    <w:rsid w:val="0072043E"/>
    <w:rsid w:val="00747E42"/>
    <w:rsid w:val="00782720"/>
    <w:rsid w:val="007A00F0"/>
    <w:rsid w:val="007E04C1"/>
    <w:rsid w:val="00837C31"/>
    <w:rsid w:val="00856B98"/>
    <w:rsid w:val="008637EF"/>
    <w:rsid w:val="00870EEA"/>
    <w:rsid w:val="00874E26"/>
    <w:rsid w:val="008E3B4A"/>
    <w:rsid w:val="009003E7"/>
    <w:rsid w:val="0093225B"/>
    <w:rsid w:val="00954BB6"/>
    <w:rsid w:val="00972888"/>
    <w:rsid w:val="00980C62"/>
    <w:rsid w:val="00994296"/>
    <w:rsid w:val="009942DE"/>
    <w:rsid w:val="009944EF"/>
    <w:rsid w:val="009B15EE"/>
    <w:rsid w:val="009F7E23"/>
    <w:rsid w:val="00A0755E"/>
    <w:rsid w:val="00A1656E"/>
    <w:rsid w:val="00AA2265"/>
    <w:rsid w:val="00AC52FB"/>
    <w:rsid w:val="00AE50C2"/>
    <w:rsid w:val="00AF7AA7"/>
    <w:rsid w:val="00B209BB"/>
    <w:rsid w:val="00B272A8"/>
    <w:rsid w:val="00B42EAB"/>
    <w:rsid w:val="00B5795A"/>
    <w:rsid w:val="00B6687C"/>
    <w:rsid w:val="00B86D70"/>
    <w:rsid w:val="00BB75A4"/>
    <w:rsid w:val="00BD4402"/>
    <w:rsid w:val="00C45AFD"/>
    <w:rsid w:val="00C740E1"/>
    <w:rsid w:val="00C87BF0"/>
    <w:rsid w:val="00C94DC4"/>
    <w:rsid w:val="00CA2316"/>
    <w:rsid w:val="00CD3BEE"/>
    <w:rsid w:val="00CE0E01"/>
    <w:rsid w:val="00CF0A2A"/>
    <w:rsid w:val="00D250D5"/>
    <w:rsid w:val="00D27501"/>
    <w:rsid w:val="00D33C03"/>
    <w:rsid w:val="00D45C01"/>
    <w:rsid w:val="00D50876"/>
    <w:rsid w:val="00D650A0"/>
    <w:rsid w:val="00D82FC0"/>
    <w:rsid w:val="00DD3CBE"/>
    <w:rsid w:val="00E04037"/>
    <w:rsid w:val="00E10649"/>
    <w:rsid w:val="00E31A65"/>
    <w:rsid w:val="00E34E1C"/>
    <w:rsid w:val="00E66081"/>
    <w:rsid w:val="00EA3D2B"/>
    <w:rsid w:val="00EA5855"/>
    <w:rsid w:val="00F11EC2"/>
    <w:rsid w:val="00F30235"/>
    <w:rsid w:val="00F57DB9"/>
    <w:rsid w:val="00F75348"/>
    <w:rsid w:val="00F92421"/>
    <w:rsid w:val="00FA3641"/>
    <w:rsid w:val="00FA3C29"/>
    <w:rsid w:val="00FF0343"/>
    <w:rsid w:val="17FFDE77"/>
    <w:rsid w:val="3BFD6497"/>
    <w:rsid w:val="6FEA6DA0"/>
    <w:rsid w:val="73F77614"/>
    <w:rsid w:val="77BF5549"/>
    <w:rsid w:val="7A922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semiHidden/>
    <w:qFormat/>
    <w:uiPriority w:val="99"/>
    <w:rPr>
      <w:sz w:val="18"/>
      <w:szCs w:val="18"/>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Pages>
  <Words>416</Words>
  <Characters>2375</Characters>
  <Lines>19</Lines>
  <Paragraphs>5</Paragraphs>
  <TotalTime>0</TotalTime>
  <ScaleCrop>false</ScaleCrop>
  <LinksUpToDate>false</LinksUpToDate>
  <CharactersWithSpaces>2786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2019-12-18T15:39:00Z</dcterms:created>
  <dc:creator>于忠凯</dc:creator>
  <cp:lastModifiedBy>赵蔚</cp:lastModifiedBy>
  <cp:lastPrinted>2019-04-12T10:42:00Z</cp:lastPrinted>
  <dcterms:modified xsi:type="dcterms:W3CDTF">2021-02-22T02:38:03Z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