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评分因素及评标标准</w:t>
      </w:r>
    </w:p>
    <w:tbl>
      <w:tblPr>
        <w:tblStyle w:val="3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655"/>
        <w:gridCol w:w="7087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0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第一部分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价格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0分）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价格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（1）报价超过采购预算的，</w:t>
            </w:r>
            <w:r>
              <w:rPr>
                <w:rFonts w:hint="eastAsia"/>
                <w:kern w:val="0"/>
                <w:sz w:val="24"/>
                <w:szCs w:val="24"/>
              </w:rPr>
              <w:t>响应</w:t>
            </w:r>
            <w:r>
              <w:rPr>
                <w:kern w:val="0"/>
                <w:sz w:val="24"/>
                <w:szCs w:val="24"/>
              </w:rPr>
              <w:t>无效，未超过采购预算的报价按以下公式进行计算。</w:t>
            </w:r>
          </w:p>
          <w:p>
            <w:pPr>
              <w:widowControl/>
              <w:adjustRightInd w:val="0"/>
              <w:snapToGrid w:val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（2）</w:t>
            </w:r>
            <w:r>
              <w:rPr>
                <w:rFonts w:hint="eastAsia"/>
                <w:kern w:val="0"/>
                <w:sz w:val="24"/>
                <w:szCs w:val="24"/>
              </w:rPr>
              <w:t>价格</w:t>
            </w:r>
            <w:r>
              <w:rPr>
                <w:kern w:val="0"/>
                <w:sz w:val="24"/>
                <w:szCs w:val="24"/>
              </w:rPr>
              <w:t>得分=（评标基准价/报价）×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kern w:val="0"/>
                <w:sz w:val="24"/>
                <w:szCs w:val="24"/>
              </w:rPr>
              <w:t>0</w:t>
            </w:r>
          </w:p>
          <w:p>
            <w:pPr>
              <w:widowControl/>
              <w:snapToGrid w:val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注：满足磋商文件要求且报价最低的报价为评标基准价。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第</w:t>
            </w:r>
            <w:r>
              <w:rPr>
                <w:rFonts w:hint="eastAsia"/>
                <w:kern w:val="0"/>
                <w:sz w:val="24"/>
                <w:szCs w:val="24"/>
              </w:rPr>
              <w:t>二</w:t>
            </w:r>
            <w:r>
              <w:rPr>
                <w:kern w:val="0"/>
                <w:sz w:val="24"/>
                <w:szCs w:val="24"/>
              </w:rPr>
              <w:t xml:space="preserve">部分 </w:t>
            </w:r>
            <w:r>
              <w:rPr>
                <w:rFonts w:hint="eastAsia"/>
                <w:kern w:val="0"/>
                <w:sz w:val="24"/>
                <w:szCs w:val="24"/>
              </w:rPr>
              <w:t>客观分</w:t>
            </w: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kern w:val="0"/>
                <w:sz w:val="24"/>
                <w:szCs w:val="24"/>
              </w:rPr>
              <w:t>分）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相关业绩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比选申请单位提供合同签订日期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自201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年01月01日至提交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比选申请文件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截止时间前已完成的与本项目内容相类似的成功案例。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每提供一项案例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分，最高得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类似成功案例须提供合同复印件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及相关资料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包括合同金额、服务范围、双方名称及盖章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报告封面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snapToGrid w:val="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注：提供的证明材料均不得遮挡涂黑，否则不予认定加分。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人力资源规模</w:t>
            </w:r>
            <w:bookmarkEnd w:id="0"/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注册会计师数量（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提供注册会计师行业统一监管平台查询截图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注册会计师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0人以下，5分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注册会计师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0人，10分</w:t>
            </w:r>
          </w:p>
          <w:p>
            <w:pPr>
              <w:snapToGrid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注册会计师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0人以上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20分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/>
    <w:tbl>
      <w:tblPr>
        <w:tblStyle w:val="3"/>
        <w:tblW w:w="10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2042"/>
        <w:gridCol w:w="6718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部分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对本项目服务内容的质量控制及质量保障措施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质量控制计划保障可靠，有完善的质量控制措施，且质控措施切实可行，审核手段完善：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分；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质量控制计划有保障，有质量控制措施，且质控措施较可行，审核手段较完善：7分；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质量控制计划有一定保障，质控措施可行性一般，审核手段不完善：4分；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其他：0分。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进度安排评价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进度安排合理、进度计划详细、可操作性强，能在规定的时间完成全部工作：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分；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进度安排较为合理、进度计划可行，能在规定的时间完成全部工作：7分；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进度安排合理性一般、进度计划比较简单：4分；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其他：0分。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项目重点、难点环节的把握和分析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对本项目重点、难点分析非常准确。并提出应对方案，完全满足项目需求：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分；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对本项目重点、难点分析比较准确。并提出应对方案，基本满足项目需求：7分；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对本项目重点、难点分析不够准确。未提出应对方案，基本满足项目需求：4分；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其他：0分。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在服务过程中，与采购人配合、沟通方案评价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投标人从与采购人沟通、配合的时间安排，人员安排，沟通、配合形式的可行性等方面对沟通、配合方案进行说明和描述：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有专人定期与采购人沟通，配合、沟通方案详细、沟通形式可行性强：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有专人定期与采购人沟通，配合、沟通方案较详细、沟通形式可行性一般：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提供了配合、沟通方案，但未指定专人与采购人沟通：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其他：0分。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人员职责及稳定性评价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针对投标人配备本项目的人员，对职责安排及人员稳定性进行说明和描述：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详细完整，针对性强，人员职责明确、分工清晰、合理，能保障服务人员稳定：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比较详细，针对性较强，人员职责基本明确、分工基本清晰、合理，基本保障服务人员稳定：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不详细，针对性，一般人员职责不明确、分工不清晰、合理，基本保障服务队伍稳定：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其他：0分。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合计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100分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NzM3MTc2OTc4OWRjNDg5ZDU4OTNlOGM5MWMxZjUifQ=="/>
  </w:docVars>
  <w:rsids>
    <w:rsidRoot w:val="36E62484"/>
    <w:rsid w:val="08C62DE3"/>
    <w:rsid w:val="1C277D26"/>
    <w:rsid w:val="2EE72D23"/>
    <w:rsid w:val="31D67BED"/>
    <w:rsid w:val="36E62484"/>
    <w:rsid w:val="48405503"/>
    <w:rsid w:val="4C7205F6"/>
    <w:rsid w:val="53A07C03"/>
    <w:rsid w:val="5A724F1F"/>
    <w:rsid w:val="6D287A75"/>
    <w:rsid w:val="737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  <w:lang w:bidi="mn-Mong-CN"/>
    </w:rPr>
  </w:style>
  <w:style w:type="paragraph" w:customStyle="1" w:styleId="5">
    <w:name w:val="列出段落11"/>
    <w:basedOn w:val="1"/>
    <w:qFormat/>
    <w:uiPriority w:val="0"/>
    <w:pPr>
      <w:widowControl/>
      <w:spacing w:line="300" w:lineRule="auto"/>
      <w:ind w:firstLine="420" w:firstLineChars="200"/>
    </w:pPr>
    <w:rPr>
      <w:rFonts w:ascii="Arial" w:hAnsi="Arial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1091</Words>
  <Characters>1124</Characters>
  <Lines>0</Lines>
  <Paragraphs>0</Paragraphs>
  <TotalTime>3</TotalTime>
  <ScaleCrop>false</ScaleCrop>
  <LinksUpToDate>false</LinksUpToDate>
  <CharactersWithSpaces>1127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2023-02-27T07:35:00Z</dcterms:created>
  <dc:creator>赵蔚</dc:creator>
  <cp:lastModifiedBy>11111</cp:lastModifiedBy>
  <dcterms:modified xsi:type="dcterms:W3CDTF">2023-03-08T01:34:28Z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0846119F42214737811DB5C1F346B24F</vt:lpwstr>
  </property>
</Properties>
</file>