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督导专家PBL听课评价表</w:t>
      </w:r>
    </w:p>
    <w:p>
      <w:pPr>
        <w:rPr>
          <w:rFonts w:hint="default" w:eastAsiaTheme="minorEastAsia"/>
          <w:sz w:val="30"/>
          <w:szCs w:val="30"/>
          <w:lang w:val="en-US" w:eastAsia="zh-CN"/>
        </w:rPr>
      </w:pPr>
      <w:r>
        <w:rPr>
          <w:rFonts w:hint="eastAsia"/>
          <w:sz w:val="30"/>
          <w:szCs w:val="30"/>
        </w:rPr>
        <w:t>教师姓名：</w:t>
      </w:r>
      <w:r>
        <w:rPr>
          <w:rFonts w:hint="eastAsia"/>
          <w:sz w:val="30"/>
          <w:szCs w:val="30"/>
          <w:lang w:val="en-US" w:eastAsia="zh-CN"/>
        </w:rPr>
        <w:t xml:space="preserve">                 课程内容：</w:t>
      </w:r>
    </w:p>
    <w:tbl>
      <w:tblPr>
        <w:tblStyle w:val="3"/>
        <w:tblW w:w="10764"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8115"/>
        <w:gridCol w:w="91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8934" w:type="dxa"/>
            <w:gridSpan w:val="2"/>
          </w:tcPr>
          <w:p>
            <w:pPr>
              <w:jc w:val="center"/>
              <w:rPr>
                <w:b/>
                <w:sz w:val="30"/>
                <w:szCs w:val="30"/>
              </w:rPr>
            </w:pPr>
            <w:r>
              <w:rPr>
                <w:rFonts w:hint="eastAsia"/>
                <w:b/>
                <w:sz w:val="30"/>
                <w:szCs w:val="30"/>
              </w:rPr>
              <w:t>评价内容</w:t>
            </w:r>
          </w:p>
        </w:tc>
        <w:tc>
          <w:tcPr>
            <w:tcW w:w="915" w:type="dxa"/>
          </w:tcPr>
          <w:p>
            <w:pPr>
              <w:jc w:val="center"/>
              <w:rPr>
                <w:rFonts w:hint="eastAsia" w:eastAsiaTheme="minorEastAsia"/>
                <w:b/>
                <w:sz w:val="30"/>
                <w:szCs w:val="30"/>
                <w:lang w:eastAsia="zh-CN"/>
              </w:rPr>
            </w:pPr>
            <w:r>
              <w:rPr>
                <w:rFonts w:hint="eastAsia"/>
                <w:b/>
                <w:sz w:val="30"/>
                <w:szCs w:val="30"/>
                <w:lang w:eastAsia="zh-CN"/>
              </w:rPr>
              <w:t>分值</w:t>
            </w:r>
          </w:p>
        </w:tc>
        <w:tc>
          <w:tcPr>
            <w:tcW w:w="915" w:type="dxa"/>
          </w:tcPr>
          <w:p>
            <w:pPr>
              <w:jc w:val="center"/>
              <w:rPr>
                <w:rFonts w:hint="eastAsia" w:eastAsiaTheme="minorEastAsia"/>
                <w:b/>
                <w:sz w:val="30"/>
                <w:szCs w:val="30"/>
                <w:lang w:eastAsia="zh-CN"/>
              </w:rPr>
            </w:pPr>
            <w:r>
              <w:rPr>
                <w:rFonts w:hint="eastAsia"/>
                <w:b/>
                <w:sz w:val="30"/>
                <w:szCs w:val="30"/>
                <w:lang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restart"/>
            <w:vAlign w:val="center"/>
          </w:tcPr>
          <w:p>
            <w:pPr>
              <w:jc w:val="center"/>
              <w:rPr>
                <w:rFonts w:hint="eastAsia" w:eastAsiaTheme="minorEastAsia"/>
                <w:sz w:val="24"/>
                <w:szCs w:val="24"/>
                <w:lang w:val="en-US" w:eastAsia="zh-CN"/>
              </w:rPr>
            </w:pPr>
            <w:r>
              <w:rPr>
                <w:rFonts w:hint="eastAsia"/>
                <w:sz w:val="24"/>
                <w:szCs w:val="24"/>
                <w:lang w:val="en-US" w:eastAsia="zh-CN"/>
              </w:rPr>
              <w:t>教学态度</w:t>
            </w:r>
          </w:p>
        </w:tc>
        <w:tc>
          <w:tcPr>
            <w:tcW w:w="8115" w:type="dxa"/>
            <w:vAlign w:val="top"/>
          </w:tcPr>
          <w:p>
            <w:pPr>
              <w:rPr>
                <w:sz w:val="21"/>
                <w:szCs w:val="21"/>
              </w:rPr>
            </w:pPr>
            <w:r>
              <w:rPr>
                <w:rFonts w:hint="eastAsia"/>
                <w:sz w:val="21"/>
                <w:szCs w:val="21"/>
              </w:rPr>
              <w:t>态度认真，准时上下课，以自身认真严谨的态度，终身学习的理念起到示范作用</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lang w:val="en-US" w:eastAsia="zh-CN"/>
              </w:rPr>
            </w:pPr>
          </w:p>
        </w:tc>
        <w:tc>
          <w:tcPr>
            <w:tcW w:w="8115" w:type="dxa"/>
            <w:vAlign w:val="top"/>
          </w:tcPr>
          <w:p>
            <w:pPr>
              <w:rPr>
                <w:rFonts w:hint="eastAsia"/>
                <w:sz w:val="21"/>
                <w:szCs w:val="21"/>
              </w:rPr>
            </w:pPr>
            <w:r>
              <w:rPr>
                <w:rFonts w:hint="eastAsia"/>
                <w:sz w:val="21"/>
                <w:szCs w:val="21"/>
              </w:rPr>
              <w:t>总是表现出积极向上的正能量，培养学生循证医学态度而不是遇到问题仓促肤浅地解释</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restart"/>
            <w:vAlign w:val="center"/>
          </w:tcPr>
          <w:p>
            <w:pPr>
              <w:jc w:val="center"/>
              <w:rPr>
                <w:rFonts w:hint="eastAsia" w:eastAsiaTheme="minorEastAsia"/>
                <w:sz w:val="24"/>
                <w:szCs w:val="24"/>
                <w:lang w:eastAsia="zh-CN"/>
              </w:rPr>
            </w:pPr>
            <w:r>
              <w:rPr>
                <w:rFonts w:hint="eastAsia"/>
                <w:sz w:val="24"/>
                <w:szCs w:val="24"/>
                <w:lang w:eastAsia="zh-CN"/>
              </w:rPr>
              <w:t>资料准备</w:t>
            </w:r>
          </w:p>
        </w:tc>
        <w:tc>
          <w:tcPr>
            <w:tcW w:w="8115" w:type="dxa"/>
            <w:vAlign w:val="top"/>
          </w:tcPr>
          <w:p>
            <w:pPr>
              <w:rPr>
                <w:sz w:val="21"/>
                <w:szCs w:val="21"/>
              </w:rPr>
            </w:pPr>
            <w:r>
              <w:rPr>
                <w:rFonts w:hint="eastAsia"/>
                <w:sz w:val="21"/>
                <w:szCs w:val="21"/>
              </w:rPr>
              <w:t>教案书写达到要求</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对PBL案例有充分的了解，熟悉PBL案例教师版内容，包括引导问题和参考阅读</w:t>
            </w:r>
          </w:p>
        </w:tc>
        <w:tc>
          <w:tcPr>
            <w:tcW w:w="915" w:type="dxa"/>
            <w:vAlign w:val="center"/>
          </w:tcPr>
          <w:p>
            <w:pPr>
              <w:jc w:val="center"/>
              <w:rPr>
                <w:rFonts w:hint="default"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restart"/>
            <w:vAlign w:val="center"/>
          </w:tcPr>
          <w:p>
            <w:pPr>
              <w:jc w:val="center"/>
              <w:rPr>
                <w:rFonts w:hint="eastAsia" w:eastAsiaTheme="minorEastAsia"/>
                <w:sz w:val="24"/>
                <w:szCs w:val="24"/>
                <w:lang w:eastAsia="zh-CN"/>
              </w:rPr>
            </w:pPr>
            <w:r>
              <w:rPr>
                <w:rFonts w:hint="eastAsia"/>
                <w:sz w:val="24"/>
                <w:szCs w:val="24"/>
                <w:lang w:eastAsia="zh-CN"/>
              </w:rPr>
              <w:t>过程指导</w:t>
            </w:r>
          </w:p>
        </w:tc>
        <w:tc>
          <w:tcPr>
            <w:tcW w:w="8115" w:type="dxa"/>
            <w:vAlign w:val="top"/>
          </w:tcPr>
          <w:p>
            <w:pPr>
              <w:rPr>
                <w:sz w:val="21"/>
                <w:szCs w:val="21"/>
              </w:rPr>
            </w:pPr>
            <w:r>
              <w:rPr>
                <w:rFonts w:hint="eastAsia"/>
                <w:sz w:val="21"/>
                <w:szCs w:val="21"/>
              </w:rPr>
              <w:t>在介绍PBL环节中指导到位，让每一位学生不但了解PBL理念，还要明确具体的要求</w:t>
            </w:r>
          </w:p>
        </w:tc>
        <w:tc>
          <w:tcPr>
            <w:tcW w:w="915" w:type="dxa"/>
            <w:vAlign w:val="center"/>
          </w:tcPr>
          <w:p>
            <w:pPr>
              <w:jc w:val="center"/>
              <w:rPr>
                <w:rFonts w:hint="default" w:eastAsiaTheme="minorEastAsia"/>
                <w:sz w:val="24"/>
                <w:szCs w:val="24"/>
                <w:lang w:val="en-US" w:eastAsia="zh-CN"/>
              </w:rPr>
            </w:pPr>
            <w:r>
              <w:rPr>
                <w:rFonts w:hint="eastAsia"/>
                <w:sz w:val="24"/>
                <w:szCs w:val="24"/>
                <w:lang w:val="en-US" w:eastAsia="zh-CN"/>
              </w:rPr>
              <w:t>10</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头脑风暴环节中的引导作用在时机和程度上把握恰当，培养和提升学生提出问题的能力并在需要时适当的引导，避免偏离主题</w:t>
            </w:r>
          </w:p>
        </w:tc>
        <w:tc>
          <w:tcPr>
            <w:tcW w:w="915" w:type="dxa"/>
            <w:vAlign w:val="center"/>
          </w:tcPr>
          <w:p>
            <w:pPr>
              <w:jc w:val="center"/>
              <w:rPr>
                <w:rFonts w:hint="default" w:eastAsiaTheme="minorEastAsia"/>
                <w:sz w:val="24"/>
                <w:szCs w:val="24"/>
                <w:lang w:val="en-US" w:eastAsia="zh-CN"/>
              </w:rPr>
            </w:pPr>
            <w:r>
              <w:rPr>
                <w:rFonts w:hint="eastAsia"/>
                <w:sz w:val="24"/>
                <w:szCs w:val="24"/>
                <w:lang w:val="en-US" w:eastAsia="zh-CN"/>
              </w:rPr>
              <w:t>10</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在小组讨论环节中的引导作用把握恰当，即突出以学生为中心又体现出教师的指导意义</w:t>
            </w:r>
          </w:p>
        </w:tc>
        <w:tc>
          <w:tcPr>
            <w:tcW w:w="915" w:type="dxa"/>
            <w:vAlign w:val="center"/>
          </w:tcPr>
          <w:p>
            <w:pPr>
              <w:jc w:val="center"/>
              <w:rPr>
                <w:rFonts w:hint="default" w:eastAsiaTheme="minorEastAsia"/>
                <w:sz w:val="24"/>
                <w:szCs w:val="24"/>
                <w:lang w:val="en-US" w:eastAsia="zh-CN"/>
              </w:rPr>
            </w:pPr>
            <w:r>
              <w:rPr>
                <w:rFonts w:hint="eastAsia"/>
                <w:sz w:val="24"/>
                <w:szCs w:val="24"/>
                <w:lang w:val="en-US" w:eastAsia="zh-CN"/>
              </w:rPr>
              <w:t>10</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很好地营造讨论气氛，要求教师帮助学生营造出轻松热烈的气氛，推动学生积极讨论</w:t>
            </w:r>
          </w:p>
        </w:tc>
        <w:tc>
          <w:tcPr>
            <w:tcW w:w="915" w:type="dxa"/>
            <w:vAlign w:val="center"/>
          </w:tcPr>
          <w:p>
            <w:pPr>
              <w:jc w:val="center"/>
              <w:rPr>
                <w:rFonts w:hint="default" w:eastAsiaTheme="minorEastAsia"/>
                <w:sz w:val="24"/>
                <w:szCs w:val="24"/>
                <w:lang w:val="en-US" w:eastAsia="zh-CN"/>
              </w:rPr>
            </w:pPr>
            <w:r>
              <w:rPr>
                <w:rFonts w:hint="eastAsia"/>
                <w:sz w:val="24"/>
                <w:szCs w:val="24"/>
                <w:lang w:val="en-US" w:eastAsia="zh-CN"/>
              </w:rPr>
              <w:t>10</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随时关注每位同学的表现，让学生及时发现自己的不足又充分体现出对学生的尊重</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融入团队并引导学生的团队意识，完成从自我学习到团队学习的过程，教师要做到不是PBL的中心</w:t>
            </w:r>
            <w:r>
              <w:rPr>
                <w:rFonts w:hint="eastAsia"/>
                <w:sz w:val="21"/>
                <w:szCs w:val="21"/>
                <w:lang w:eastAsia="zh-CN"/>
              </w:rPr>
              <w:t>而</w:t>
            </w:r>
            <w:r>
              <w:rPr>
                <w:rFonts w:hint="eastAsia"/>
                <w:sz w:val="21"/>
                <w:szCs w:val="21"/>
              </w:rPr>
              <w:t>是PBL团队中的一员</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vAlign w:val="center"/>
          </w:tcPr>
          <w:p>
            <w:pPr>
              <w:jc w:val="center"/>
              <w:rPr>
                <w:rFonts w:hint="eastAsia"/>
                <w:sz w:val="24"/>
                <w:szCs w:val="24"/>
              </w:rPr>
            </w:pPr>
          </w:p>
        </w:tc>
        <w:tc>
          <w:tcPr>
            <w:tcW w:w="8115" w:type="dxa"/>
            <w:vAlign w:val="top"/>
          </w:tcPr>
          <w:p>
            <w:pPr>
              <w:rPr>
                <w:sz w:val="21"/>
                <w:szCs w:val="21"/>
              </w:rPr>
            </w:pPr>
            <w:r>
              <w:rPr>
                <w:rFonts w:hint="eastAsia"/>
                <w:sz w:val="21"/>
                <w:szCs w:val="21"/>
              </w:rPr>
              <w:t>培养和引导学生自主学习，而不是依赖老师</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exact"/>
        </w:trPr>
        <w:tc>
          <w:tcPr>
            <w:tcW w:w="819" w:type="dxa"/>
            <w:vMerge w:val="restart"/>
            <w:vAlign w:val="center"/>
          </w:tcPr>
          <w:p>
            <w:pPr>
              <w:jc w:val="center"/>
              <w:rPr>
                <w:rFonts w:hint="eastAsia" w:eastAsiaTheme="minorEastAsia"/>
                <w:sz w:val="24"/>
                <w:szCs w:val="24"/>
                <w:lang w:eastAsia="zh-CN"/>
              </w:rPr>
            </w:pPr>
            <w:r>
              <w:rPr>
                <w:rFonts w:hint="eastAsia"/>
                <w:sz w:val="24"/>
                <w:szCs w:val="24"/>
                <w:lang w:eastAsia="zh-CN"/>
              </w:rPr>
              <w:t>评价反馈</w:t>
            </w:r>
          </w:p>
        </w:tc>
        <w:tc>
          <w:tcPr>
            <w:tcW w:w="8115" w:type="dxa"/>
            <w:vAlign w:val="top"/>
          </w:tcPr>
          <w:p>
            <w:pPr>
              <w:rPr>
                <w:rFonts w:hint="eastAsia"/>
                <w:sz w:val="21"/>
                <w:szCs w:val="21"/>
              </w:rPr>
            </w:pPr>
            <w:r>
              <w:rPr>
                <w:rFonts w:hint="eastAsia"/>
                <w:sz w:val="21"/>
                <w:szCs w:val="21"/>
              </w:rPr>
              <w:t>学生每个环节的表现都要简要全程记录，并将头脑风暴、作业、小组讨论进行横向联系，以及时发现学生学习中存在的问题</w:t>
            </w:r>
          </w:p>
        </w:tc>
        <w:tc>
          <w:tcPr>
            <w:tcW w:w="915" w:type="dxa"/>
            <w:vAlign w:val="center"/>
          </w:tcPr>
          <w:p>
            <w:pPr>
              <w:jc w:val="center"/>
              <w:rPr>
                <w:rFonts w:hint="default"/>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819" w:type="dxa"/>
            <w:vMerge w:val="continue"/>
          </w:tcPr>
          <w:p>
            <w:pPr>
              <w:rPr>
                <w:rFonts w:hint="eastAsia" w:eastAsiaTheme="minorEastAsia"/>
                <w:sz w:val="24"/>
                <w:szCs w:val="24"/>
                <w:lang w:eastAsia="zh-CN"/>
              </w:rPr>
            </w:pPr>
          </w:p>
        </w:tc>
        <w:tc>
          <w:tcPr>
            <w:tcW w:w="8115" w:type="dxa"/>
            <w:vAlign w:val="top"/>
          </w:tcPr>
          <w:p>
            <w:pPr>
              <w:rPr>
                <w:sz w:val="21"/>
                <w:szCs w:val="21"/>
              </w:rPr>
            </w:pPr>
            <w:r>
              <w:rPr>
                <w:rFonts w:hint="eastAsia"/>
                <w:sz w:val="21"/>
                <w:szCs w:val="21"/>
              </w:rPr>
              <w:t>熟练掌握学生反馈环节，包括自我反馈、他人反馈、教师反馈、课程反馈等，反馈的目的是为了改进提升，所以反馈不能流于形式，要具体有效</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7</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19" w:type="dxa"/>
            <w:vMerge w:val="continue"/>
          </w:tcPr>
          <w:p>
            <w:pPr>
              <w:rPr>
                <w:rFonts w:hint="eastAsia"/>
                <w:sz w:val="24"/>
                <w:szCs w:val="24"/>
                <w:lang w:eastAsia="zh-CN"/>
              </w:rPr>
            </w:pPr>
          </w:p>
        </w:tc>
        <w:tc>
          <w:tcPr>
            <w:tcW w:w="8115" w:type="dxa"/>
            <w:vAlign w:val="top"/>
          </w:tcPr>
          <w:p>
            <w:pPr>
              <w:rPr>
                <w:rFonts w:hint="eastAsia"/>
                <w:sz w:val="21"/>
                <w:szCs w:val="21"/>
              </w:rPr>
            </w:pPr>
            <w:r>
              <w:rPr>
                <w:rFonts w:hint="eastAsia"/>
                <w:sz w:val="21"/>
                <w:szCs w:val="21"/>
              </w:rPr>
              <w:t>认真阅读学生作业并在课上点评，点评不</w:t>
            </w:r>
            <w:r>
              <w:rPr>
                <w:rFonts w:hint="eastAsia"/>
                <w:sz w:val="21"/>
                <w:szCs w:val="21"/>
                <w:lang w:eastAsia="zh-CN"/>
              </w:rPr>
              <w:t>要</w:t>
            </w:r>
            <w:r>
              <w:rPr>
                <w:rFonts w:hint="eastAsia"/>
                <w:sz w:val="21"/>
                <w:szCs w:val="21"/>
              </w:rPr>
              <w:t>流于形式而是具体明确，并有明显的效果</w:t>
            </w:r>
          </w:p>
        </w:tc>
        <w:tc>
          <w:tcPr>
            <w:tcW w:w="915" w:type="dxa"/>
            <w:vAlign w:val="center"/>
          </w:tcPr>
          <w:p>
            <w:pPr>
              <w:jc w:val="center"/>
              <w:rPr>
                <w:rFonts w:hint="default"/>
                <w:sz w:val="24"/>
                <w:szCs w:val="24"/>
                <w:lang w:val="en-US" w:eastAsia="zh-CN"/>
              </w:rPr>
            </w:pPr>
            <w:r>
              <w:rPr>
                <w:rFonts w:hint="eastAsia"/>
                <w:sz w:val="24"/>
                <w:szCs w:val="24"/>
                <w:lang w:val="en-US" w:eastAsia="zh-CN"/>
              </w:rPr>
              <w:t>5</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exact"/>
        </w:trPr>
        <w:tc>
          <w:tcPr>
            <w:tcW w:w="819" w:type="dxa"/>
            <w:vMerge w:val="continue"/>
          </w:tcPr>
          <w:p>
            <w:pPr>
              <w:rPr>
                <w:rFonts w:hint="eastAsia"/>
                <w:sz w:val="24"/>
                <w:szCs w:val="24"/>
              </w:rPr>
            </w:pPr>
          </w:p>
        </w:tc>
        <w:tc>
          <w:tcPr>
            <w:tcW w:w="8115" w:type="dxa"/>
            <w:vAlign w:val="top"/>
          </w:tcPr>
          <w:p>
            <w:pPr>
              <w:rPr>
                <w:sz w:val="21"/>
                <w:szCs w:val="21"/>
              </w:rPr>
            </w:pPr>
            <w:r>
              <w:rPr>
                <w:rFonts w:hint="eastAsia"/>
                <w:sz w:val="21"/>
                <w:szCs w:val="21"/>
              </w:rPr>
              <w:t>准确熟练掌握评分标准，做到客观公正地对学生进行评价并按时给出有针对性的文字评语和百分制成绩</w:t>
            </w:r>
          </w:p>
        </w:tc>
        <w:tc>
          <w:tcPr>
            <w:tcW w:w="915" w:type="dxa"/>
            <w:vAlign w:val="center"/>
          </w:tcPr>
          <w:p>
            <w:pPr>
              <w:jc w:val="center"/>
              <w:rPr>
                <w:rFonts w:hint="eastAsia" w:eastAsiaTheme="minorEastAsia"/>
                <w:sz w:val="24"/>
                <w:szCs w:val="24"/>
                <w:lang w:val="en-US" w:eastAsia="zh-CN"/>
              </w:rPr>
            </w:pPr>
            <w:r>
              <w:rPr>
                <w:rFonts w:hint="eastAsia"/>
                <w:sz w:val="24"/>
                <w:szCs w:val="24"/>
                <w:lang w:val="en-US" w:eastAsia="zh-CN"/>
              </w:rPr>
              <w:t>8</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exact"/>
        </w:trPr>
        <w:tc>
          <w:tcPr>
            <w:tcW w:w="8934" w:type="dxa"/>
            <w:gridSpan w:val="2"/>
            <w:vAlign w:val="center"/>
          </w:tcPr>
          <w:p>
            <w:pPr>
              <w:jc w:val="center"/>
              <w:rPr>
                <w:rFonts w:hint="eastAsia" w:eastAsiaTheme="minorEastAsia"/>
                <w:sz w:val="21"/>
                <w:szCs w:val="21"/>
                <w:lang w:eastAsia="zh-CN"/>
              </w:rPr>
            </w:pPr>
            <w:r>
              <w:rPr>
                <w:rFonts w:hint="eastAsia"/>
                <w:sz w:val="24"/>
                <w:szCs w:val="24"/>
                <w:lang w:eastAsia="zh-CN"/>
              </w:rPr>
              <w:t>合计</w:t>
            </w:r>
          </w:p>
        </w:tc>
        <w:tc>
          <w:tcPr>
            <w:tcW w:w="915" w:type="dxa"/>
            <w:vAlign w:val="center"/>
          </w:tcPr>
          <w:p>
            <w:pPr>
              <w:jc w:val="center"/>
              <w:rPr>
                <w:rFonts w:hint="default"/>
                <w:sz w:val="24"/>
                <w:szCs w:val="24"/>
                <w:lang w:val="en-US" w:eastAsia="zh-CN"/>
              </w:rPr>
            </w:pPr>
            <w:r>
              <w:rPr>
                <w:rFonts w:hint="eastAsia"/>
                <w:sz w:val="24"/>
                <w:szCs w:val="24"/>
                <w:lang w:val="en-US" w:eastAsia="zh-CN"/>
              </w:rPr>
              <w:t>100</w:t>
            </w:r>
          </w:p>
        </w:tc>
        <w:tc>
          <w:tcPr>
            <w:tcW w:w="915"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0764" w:type="dxa"/>
            <w:gridSpan w:val="4"/>
          </w:tcPr>
          <w:p>
            <w:pPr>
              <w:rPr>
                <w:sz w:val="28"/>
                <w:szCs w:val="28"/>
              </w:rPr>
            </w:pPr>
            <w:r>
              <w:rPr>
                <w:rFonts w:hint="eastAsia"/>
                <w:sz w:val="28"/>
                <w:szCs w:val="28"/>
              </w:rPr>
              <w:t>建议：</w:t>
            </w:r>
          </w:p>
          <w:p>
            <w:pPr>
              <w:ind w:firstLine="8480" w:firstLineChars="2650"/>
              <w:rPr>
                <w:sz w:val="32"/>
                <w:szCs w:val="32"/>
              </w:rPr>
            </w:pPr>
          </w:p>
        </w:tc>
      </w:tr>
    </w:tbl>
    <w:p>
      <w:pPr>
        <w:rPr>
          <w:rFonts w:hint="default" w:eastAsiaTheme="minorEastAsia"/>
          <w:sz w:val="28"/>
          <w:szCs w:val="28"/>
          <w:lang w:val="en-US" w:eastAsia="zh-CN"/>
        </w:rPr>
      </w:pPr>
      <w:r>
        <w:rPr>
          <w:rFonts w:hint="eastAsia"/>
          <w:sz w:val="32"/>
          <w:szCs w:val="32"/>
        </w:rPr>
        <w:t xml:space="preserve">           </w:t>
      </w:r>
      <w:r>
        <w:rPr>
          <w:rFonts w:hint="eastAsia"/>
          <w:sz w:val="32"/>
          <w:szCs w:val="32"/>
          <w:lang w:val="en-US" w:eastAsia="zh-CN"/>
        </w:rPr>
        <w:t xml:space="preserve">  </w:t>
      </w:r>
      <w:r>
        <w:rPr>
          <w:rFonts w:hint="eastAsia"/>
          <w:sz w:val="32"/>
          <w:szCs w:val="32"/>
        </w:rPr>
        <w:t xml:space="preserve"> </w:t>
      </w:r>
      <w:r>
        <w:rPr>
          <w:rFonts w:hint="eastAsia"/>
          <w:sz w:val="28"/>
          <w:szCs w:val="28"/>
        </w:rPr>
        <w:t xml:space="preserve">督导专家：  </w:t>
      </w:r>
      <w:r>
        <w:rPr>
          <w:rFonts w:hint="eastAsia"/>
          <w:sz w:val="28"/>
          <w:szCs w:val="28"/>
          <w:lang w:val="en-US" w:eastAsia="zh-CN"/>
        </w:rPr>
        <w:t xml:space="preserve">                   </w:t>
      </w:r>
      <w:bookmarkStart w:id="0" w:name="_GoBack"/>
      <w:bookmarkEnd w:id="0"/>
      <w:r>
        <w:rPr>
          <w:rFonts w:hint="eastAsia"/>
          <w:sz w:val="28"/>
          <w:szCs w:val="28"/>
          <w:lang w:val="en-US" w:eastAsia="zh-CN"/>
        </w:rPr>
        <w:t xml:space="preserve">  </w:t>
      </w:r>
      <w:r>
        <w:rPr>
          <w:rFonts w:hint="eastAsia"/>
          <w:sz w:val="28"/>
          <w:szCs w:val="28"/>
        </w:rPr>
        <w:t>时间：</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A7"/>
    <w:rsid w:val="001E11A7"/>
    <w:rsid w:val="00FD672B"/>
    <w:rsid w:val="1A4F3BC4"/>
    <w:rsid w:val="1FB954DD"/>
    <w:rsid w:val="3E431988"/>
    <w:rsid w:val="51DA5BA4"/>
    <w:rsid w:val="53630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121</Words>
  <Characters>690</Characters>
  <Lines>5</Lines>
  <Paragraphs>1</Paragraphs>
  <TotalTime>4</TotalTime>
  <ScaleCrop>false</ScaleCrop>
  <LinksUpToDate>false</LinksUpToDate>
  <CharactersWithSpaces>810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2021-05-20T03:30:00Z</dcterms:created>
  <dc:creator>DELL</dc:creator>
  <cp:lastModifiedBy>Administrator</cp:lastModifiedBy>
  <cp:lastPrinted>2021-06-03T06:47:00Z</cp:lastPrinted>
  <dcterms:modified xsi:type="dcterms:W3CDTF">2021-10-07T02:53:52Z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77CB2BC95D6D4330AAD51C13F1F626C5</vt:lpwstr>
  </property>
</Properties>
</file>